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E31" w:rsidRPr="00C165B0" w:rsidRDefault="00420E31" w:rsidP="00420E31">
      <w:pPr>
        <w:ind w:firstLine="709"/>
        <w:jc w:val="right"/>
        <w:rPr>
          <w:rFonts w:asciiTheme="minorHAnsi" w:hAnsiTheme="minorHAnsi"/>
          <w:b/>
        </w:rPr>
      </w:pPr>
      <w:r w:rsidRPr="00C165B0">
        <w:rPr>
          <w:rFonts w:asciiTheme="minorHAnsi" w:hAnsiTheme="minorHAnsi"/>
          <w:b/>
        </w:rPr>
        <w:t xml:space="preserve">Załącznik nr </w:t>
      </w:r>
      <w:r w:rsidR="000608C9">
        <w:rPr>
          <w:rFonts w:asciiTheme="minorHAnsi" w:hAnsiTheme="minorHAnsi"/>
          <w:b/>
        </w:rPr>
        <w:t xml:space="preserve">3a </w:t>
      </w:r>
      <w:r w:rsidR="00A371A1">
        <w:rPr>
          <w:rFonts w:asciiTheme="minorHAnsi" w:hAnsiTheme="minorHAnsi"/>
          <w:b/>
        </w:rPr>
        <w:t>do SIWZ</w:t>
      </w:r>
    </w:p>
    <w:p w:rsidR="00420E31" w:rsidRPr="00C165B0" w:rsidRDefault="00420E31" w:rsidP="00420E31">
      <w:pPr>
        <w:ind w:firstLine="709"/>
        <w:rPr>
          <w:rFonts w:asciiTheme="minorHAnsi" w:hAnsiTheme="minorHAnsi"/>
          <w:b/>
        </w:rPr>
      </w:pPr>
      <w:r w:rsidRPr="00C165B0">
        <w:rPr>
          <w:rFonts w:asciiTheme="minorHAnsi" w:hAnsiTheme="minorHAnsi"/>
          <w:b/>
        </w:rPr>
        <w:t>……………………………………………………….</w:t>
      </w:r>
    </w:p>
    <w:p w:rsidR="00420E31" w:rsidRPr="00C165B0" w:rsidRDefault="00420E31" w:rsidP="00420E31">
      <w:pPr>
        <w:ind w:firstLine="709"/>
        <w:rPr>
          <w:rFonts w:asciiTheme="minorHAnsi" w:hAnsiTheme="minorHAnsi"/>
        </w:rPr>
      </w:pPr>
      <w:r w:rsidRPr="00C165B0">
        <w:rPr>
          <w:rFonts w:asciiTheme="minorHAnsi" w:hAnsiTheme="minorHAnsi"/>
        </w:rPr>
        <w:t xml:space="preserve">          (oznaczenie wykonawcy)</w:t>
      </w:r>
    </w:p>
    <w:p w:rsidR="00420E31" w:rsidRPr="00C165B0" w:rsidRDefault="00420E31" w:rsidP="00420E31">
      <w:pPr>
        <w:jc w:val="center"/>
        <w:rPr>
          <w:rFonts w:asciiTheme="minorHAnsi" w:hAnsiTheme="minorHAnsi"/>
          <w:b/>
        </w:rPr>
      </w:pPr>
    </w:p>
    <w:p w:rsidR="004F3B75" w:rsidRPr="00C165B0" w:rsidRDefault="00420E31" w:rsidP="00420E31">
      <w:pPr>
        <w:jc w:val="center"/>
        <w:rPr>
          <w:rFonts w:asciiTheme="minorHAnsi" w:hAnsiTheme="minorHAnsi"/>
          <w:b/>
          <w:sz w:val="28"/>
          <w:szCs w:val="28"/>
        </w:rPr>
      </w:pPr>
      <w:r w:rsidRPr="00C165B0">
        <w:rPr>
          <w:rFonts w:asciiTheme="minorHAnsi" w:hAnsiTheme="minorHAnsi"/>
          <w:b/>
          <w:sz w:val="28"/>
          <w:szCs w:val="28"/>
        </w:rPr>
        <w:t>FORMULARZ TECHNICZNY</w:t>
      </w:r>
    </w:p>
    <w:p w:rsidR="00420E31" w:rsidRDefault="00420E31" w:rsidP="00420E31">
      <w:pPr>
        <w:jc w:val="center"/>
        <w:rPr>
          <w:rFonts w:asciiTheme="minorHAnsi" w:hAnsiTheme="minorHAns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7463"/>
        <w:gridCol w:w="1843"/>
        <w:gridCol w:w="4331"/>
      </w:tblGrid>
      <w:tr w:rsidR="00A454AA" w:rsidTr="00A454AA">
        <w:trPr>
          <w:trHeight w:val="411"/>
        </w:trPr>
        <w:tc>
          <w:tcPr>
            <w:tcW w:w="2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54AA" w:rsidRDefault="00A454AA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Szafa serwerowa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Deklaracja zgodności</w:t>
            </w:r>
          </w:p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z opisem wymagań minimalnych (wpisać TAK lub NIE)</w:t>
            </w:r>
          </w:p>
        </w:tc>
        <w:tc>
          <w:tcPr>
            <w:tcW w:w="1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Wpisać oferowane parametry</w:t>
            </w:r>
          </w:p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454AA" w:rsidTr="00A454AA">
        <w:trPr>
          <w:trHeight w:val="417"/>
        </w:trPr>
        <w:tc>
          <w:tcPr>
            <w:tcW w:w="2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54AA" w:rsidRDefault="00A454AA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Ilość sztuk: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4AA" w:rsidRDefault="00A454AA">
            <w:pPr>
              <w:spacing w:after="0" w:line="240" w:lineRule="auto"/>
              <w:rPr>
                <w:rFonts w:asciiTheme="minorHAnsi" w:eastAsia="Times New Roman" w:hAnsiTheme="minorHAns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4AA" w:rsidRDefault="00A454AA">
            <w:pPr>
              <w:spacing w:after="0" w:line="240" w:lineRule="auto"/>
              <w:rPr>
                <w:rFonts w:asciiTheme="minorHAnsi" w:eastAsia="Times New Roman" w:hAnsiTheme="minorHAnsi"/>
                <w:b/>
              </w:rPr>
            </w:pPr>
          </w:p>
        </w:tc>
      </w:tr>
      <w:tr w:rsidR="00A454AA" w:rsidTr="00A454AA">
        <w:trPr>
          <w:trHeight w:val="551"/>
        </w:trPr>
        <w:tc>
          <w:tcPr>
            <w:tcW w:w="28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54AA" w:rsidRDefault="00A454AA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 xml:space="preserve">Nazwa producenta i model: </w:t>
            </w:r>
            <w:r>
              <w:rPr>
                <w:rFonts w:asciiTheme="minorHAnsi" w:hAnsiTheme="minorHAnsi"/>
                <w:b/>
                <w:lang w:eastAsia="en-US"/>
              </w:rPr>
              <w:tab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4AA" w:rsidRDefault="00A454AA">
            <w:pPr>
              <w:spacing w:after="0" w:line="240" w:lineRule="auto"/>
              <w:rPr>
                <w:rFonts w:asciiTheme="minorHAnsi" w:eastAsia="Times New Roman" w:hAnsiTheme="minorHAns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4AA" w:rsidRDefault="00A454AA">
            <w:pPr>
              <w:spacing w:after="0" w:line="240" w:lineRule="auto"/>
              <w:rPr>
                <w:rFonts w:asciiTheme="minorHAnsi" w:eastAsia="Times New Roman" w:hAnsiTheme="minorHAnsi"/>
                <w:b/>
              </w:rPr>
            </w:pPr>
          </w:p>
        </w:tc>
      </w:tr>
      <w:tr w:rsidR="00A454AA" w:rsidTr="00A454A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LP.</w:t>
            </w:r>
          </w:p>
        </w:tc>
        <w:tc>
          <w:tcPr>
            <w:tcW w:w="2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Wymagania minimalne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4AA" w:rsidRDefault="00A454AA">
            <w:pPr>
              <w:spacing w:after="0" w:line="240" w:lineRule="auto"/>
              <w:rPr>
                <w:rFonts w:asciiTheme="minorHAnsi" w:eastAsia="Times New Roman" w:hAnsiTheme="minorHAns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4AA" w:rsidRDefault="00A454AA">
            <w:pPr>
              <w:spacing w:after="0" w:line="240" w:lineRule="auto"/>
              <w:rPr>
                <w:rFonts w:asciiTheme="minorHAnsi" w:eastAsia="Times New Roman" w:hAnsiTheme="minorHAnsi"/>
                <w:b/>
              </w:rPr>
            </w:pPr>
          </w:p>
        </w:tc>
      </w:tr>
      <w:tr w:rsidR="00A454AA" w:rsidTr="00A454A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2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lang w:eastAsia="en-US"/>
              </w:rPr>
            </w:pPr>
            <w:r w:rsidRPr="002F722E">
              <w:t>Szafa RACK o wysokości 42U zgodna ze standardami EIA-310-D, EIA-310-E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  <w:tr w:rsidR="00A454AA" w:rsidTr="00A454A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2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lang w:eastAsia="en-US"/>
              </w:rPr>
            </w:pPr>
            <w:r w:rsidRPr="002F722E">
              <w:t>Ciężar (obciążenie statyczne) min. 1300 kg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  <w:tr w:rsidR="00A454AA" w:rsidTr="00A454A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2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lang w:eastAsia="en-US"/>
              </w:rPr>
            </w:pPr>
            <w:r w:rsidRPr="002F722E">
              <w:t>Szerokość i głębokość dostosowana do rozmiaru oferowanego i dostarczanego sprzętu.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  <w:tr w:rsidR="00A454AA" w:rsidTr="00A454A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2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lang w:eastAsia="en-US"/>
              </w:rPr>
            </w:pPr>
            <w:r w:rsidRPr="002F722E">
              <w:t>Przednie i tylnie drzwi szafy muszą umożliwić wymianę powietrza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  <w:tr w:rsidR="00A454AA" w:rsidTr="00A454A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5.</w:t>
            </w:r>
          </w:p>
        </w:tc>
        <w:tc>
          <w:tcPr>
            <w:tcW w:w="2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lang w:eastAsia="en-US"/>
              </w:rPr>
            </w:pPr>
            <w:r w:rsidRPr="002F722E">
              <w:t>Boki szafy pełne z możliwością demontażu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  <w:tr w:rsidR="00A454AA" w:rsidTr="00A454A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2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lang w:eastAsia="en-US"/>
              </w:rPr>
            </w:pPr>
            <w:r w:rsidRPr="002F722E">
              <w:t>Szafa musi zostać objęta min. 3-letnią gwarancją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  <w:tr w:rsidR="00A454AA" w:rsidTr="00A454A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7.</w:t>
            </w:r>
          </w:p>
        </w:tc>
        <w:tc>
          <w:tcPr>
            <w:tcW w:w="2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 w:rsidP="00247090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</w:pPr>
            <w:r w:rsidRPr="002F722E">
              <w:t>Wyposażenie dodatkowe: 2 listwy zasilające przeznaczone do montażu w standardowej szafie RACK 19 cali wyposażone w co najmniej 8 gniazd C13 oraz wtyk typu C14</w:t>
            </w:r>
          </w:p>
          <w:p w:rsidR="002E31BD" w:rsidRDefault="002E31BD" w:rsidP="00247090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</w:pPr>
          </w:p>
          <w:p w:rsidR="002E31BD" w:rsidRPr="00247090" w:rsidRDefault="002E31BD" w:rsidP="00247090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</w:pPr>
            <w:bookmarkStart w:id="0" w:name="_GoBack"/>
            <w:bookmarkEnd w:id="0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AA" w:rsidRDefault="00A454A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</w:tbl>
    <w:p w:rsidR="00A454AA" w:rsidRPr="00A371A1" w:rsidRDefault="00A454AA" w:rsidP="00420E31">
      <w:pPr>
        <w:jc w:val="center"/>
        <w:rPr>
          <w:rFonts w:asciiTheme="minorHAnsi" w:hAnsiTheme="minorHAnsi"/>
          <w:b/>
        </w:rPr>
      </w:pPr>
    </w:p>
    <w:p w:rsidR="00C40BD1" w:rsidRPr="00A371A1" w:rsidRDefault="00C40BD1" w:rsidP="00420E31">
      <w:pPr>
        <w:jc w:val="center"/>
        <w:rPr>
          <w:rFonts w:asciiTheme="minorHAnsi" w:hAnsiTheme="minorHAns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2727"/>
        <w:gridCol w:w="4735"/>
        <w:gridCol w:w="1843"/>
        <w:gridCol w:w="4331"/>
      </w:tblGrid>
      <w:tr w:rsidR="00A371A1" w:rsidRPr="00A371A1" w:rsidTr="00B3199E">
        <w:trPr>
          <w:trHeight w:val="41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0D70FB" w:rsidRPr="00A371A1" w:rsidRDefault="000D70FB" w:rsidP="000D70FB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lastRenderedPageBreak/>
              <w:t>Zasilacz awaryjny</w:t>
            </w:r>
          </w:p>
        </w:tc>
        <w:tc>
          <w:tcPr>
            <w:tcW w:w="648" w:type="pct"/>
            <w:vMerge w:val="restart"/>
            <w:shd w:val="clear" w:color="auto" w:fill="D9D9D9" w:themeFill="background1" w:themeFillShade="D9"/>
            <w:vAlign w:val="center"/>
          </w:tcPr>
          <w:p w:rsidR="000D70FB" w:rsidRPr="00A371A1" w:rsidRDefault="000D70FB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0D70FB" w:rsidRPr="00A371A1" w:rsidRDefault="000D70FB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 (wpisać TAK lub NIE)</w:t>
            </w:r>
          </w:p>
        </w:tc>
        <w:tc>
          <w:tcPr>
            <w:tcW w:w="1523" w:type="pct"/>
            <w:vMerge w:val="restart"/>
            <w:shd w:val="clear" w:color="auto" w:fill="D9D9D9" w:themeFill="background1" w:themeFillShade="D9"/>
            <w:vAlign w:val="center"/>
          </w:tcPr>
          <w:p w:rsidR="000D70FB" w:rsidRPr="00A371A1" w:rsidRDefault="000D70FB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Wpisać oferowane parametry</w:t>
            </w:r>
          </w:p>
          <w:p w:rsidR="000D70FB" w:rsidRPr="00A371A1" w:rsidRDefault="000D70FB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417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0D70FB" w:rsidRPr="00A371A1" w:rsidRDefault="000D70FB" w:rsidP="000D70FB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648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55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0D70FB" w:rsidRPr="00A371A1" w:rsidRDefault="000D70FB" w:rsidP="000D70FB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 i 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648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c>
          <w:tcPr>
            <w:tcW w:w="205" w:type="pct"/>
            <w:shd w:val="clear" w:color="auto" w:fill="D9D9D9" w:themeFill="background1" w:themeFillShade="D9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959" w:type="pct"/>
            <w:shd w:val="clear" w:color="auto" w:fill="D9D9D9" w:themeFill="background1" w:themeFillShade="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Opis wymagań</w:t>
            </w:r>
          </w:p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techniczno-funkcjonalnych</w:t>
            </w:r>
          </w:p>
        </w:tc>
        <w:tc>
          <w:tcPr>
            <w:tcW w:w="1665" w:type="pct"/>
            <w:shd w:val="clear" w:color="auto" w:fill="D9D9D9" w:themeFill="background1" w:themeFillShade="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648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F25DCE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1.</w:t>
            </w:r>
          </w:p>
        </w:tc>
        <w:tc>
          <w:tcPr>
            <w:tcW w:w="959" w:type="pct"/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Technologia</w:t>
            </w:r>
          </w:p>
        </w:tc>
        <w:tc>
          <w:tcPr>
            <w:tcW w:w="1665" w:type="pct"/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VFI (</w:t>
            </w:r>
            <w:proofErr w:type="spellStart"/>
            <w:r w:rsidRPr="00A371A1">
              <w:rPr>
                <w:rFonts w:asciiTheme="minorHAnsi" w:hAnsiTheme="minorHAnsi"/>
              </w:rPr>
              <w:t>true</w:t>
            </w:r>
            <w:proofErr w:type="spellEnd"/>
            <w:r w:rsidRPr="00A371A1">
              <w:rPr>
                <w:rFonts w:asciiTheme="minorHAnsi" w:hAnsiTheme="minorHAnsi"/>
              </w:rPr>
              <w:t xml:space="preserve"> on-line, podwójne przetwarzanie energii)</w:t>
            </w:r>
          </w:p>
        </w:tc>
        <w:tc>
          <w:tcPr>
            <w:tcW w:w="648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F25DCE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2.</w:t>
            </w:r>
          </w:p>
        </w:tc>
        <w:tc>
          <w:tcPr>
            <w:tcW w:w="959" w:type="pct"/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Moc znamionowa</w:t>
            </w:r>
          </w:p>
        </w:tc>
        <w:tc>
          <w:tcPr>
            <w:tcW w:w="1665" w:type="pct"/>
            <w:shd w:val="clear" w:color="auto" w:fill="auto"/>
          </w:tcPr>
          <w:p w:rsidR="00F577D2" w:rsidRPr="00A371A1" w:rsidRDefault="00F577D2" w:rsidP="00DA00BD">
            <w:pPr>
              <w:pStyle w:val="Akapitzlist1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kVA / 5,4 kW</w:t>
            </w:r>
          </w:p>
        </w:tc>
        <w:tc>
          <w:tcPr>
            <w:tcW w:w="648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F25DCE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3.</w:t>
            </w:r>
          </w:p>
        </w:tc>
        <w:tc>
          <w:tcPr>
            <w:tcW w:w="959" w:type="pct"/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Wyjściowy współczynnik mocy (PF)</w:t>
            </w:r>
          </w:p>
        </w:tc>
        <w:tc>
          <w:tcPr>
            <w:tcW w:w="1665" w:type="pct"/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0,9</w:t>
            </w:r>
          </w:p>
        </w:tc>
        <w:tc>
          <w:tcPr>
            <w:tcW w:w="648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4.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Napięcie wejściowe nominalne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230 VAC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5.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Sposób zasilania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Rozdzielone zasilanie prostownika i Bypassu wewnętrznego – zasilanie dwutorowe. Podłączane na listwie zaciskowej.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6.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Tolerancja napięcia wejściowego przy obciążeniu 70-100%; bez przechodzenia na baterie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160 – 276 </w:t>
            </w:r>
            <w:proofErr w:type="spellStart"/>
            <w:r w:rsidRPr="00A371A1">
              <w:rPr>
                <w:rFonts w:asciiTheme="minorHAnsi" w:hAnsiTheme="minorHAnsi"/>
              </w:rPr>
              <w:t>Vac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7.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Tolerancja napięcia wejściowego przy obciążeniu mniejszym od 70%; bez przechodzenia na baterie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120 – 276 </w:t>
            </w:r>
            <w:proofErr w:type="spellStart"/>
            <w:r w:rsidRPr="00A371A1">
              <w:rPr>
                <w:rFonts w:asciiTheme="minorHAnsi" w:hAnsiTheme="minorHAnsi"/>
              </w:rPr>
              <w:t>Vac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8.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Częstotliwość wejściowa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Wymagana 40-70 </w:t>
            </w:r>
            <w:proofErr w:type="spellStart"/>
            <w:r w:rsidRPr="00A371A1">
              <w:rPr>
                <w:rFonts w:asciiTheme="minorHAnsi" w:hAnsiTheme="minorHAnsi"/>
              </w:rPr>
              <w:t>Hz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9.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Sprawność AC-AC w trybie pracy</w:t>
            </w:r>
          </w:p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on-line z obciążeniem 100% 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nie mniejsza niż 95%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Sprawność AC-AC w trybie pracy</w:t>
            </w:r>
          </w:p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Oszczędzania energii Eco </w:t>
            </w:r>
            <w:proofErr w:type="spellStart"/>
            <w:r w:rsidRPr="00A371A1">
              <w:rPr>
                <w:rFonts w:asciiTheme="minorHAnsi" w:hAnsiTheme="minorHAnsi"/>
              </w:rPr>
              <w:t>Mode</w:t>
            </w:r>
            <w:proofErr w:type="spellEnd"/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nie mniejsza niż 99%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Tryb pracy z konwersją częstotliwości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Wymagana praca ze stałą częstotliwością wyjściową 50Hz, przy zasilaniu 60Hz lub odwrotnie.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Napięcie wyjściowe 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230 </w:t>
            </w:r>
            <w:proofErr w:type="spellStart"/>
            <w:r w:rsidRPr="00A371A1">
              <w:rPr>
                <w:rFonts w:asciiTheme="minorHAnsi" w:hAnsiTheme="minorHAnsi"/>
              </w:rPr>
              <w:t>Vac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Częstotliwość wyjściowa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50/60Hz (programowalna)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12.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Zintegrowane bezprzerwowe</w:t>
            </w:r>
          </w:p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przełączniki obejściowe (by-pass)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Statyczny przełącznik (SCR) oraz ręczny odłącznik serwisowy na </w:t>
            </w:r>
            <w:proofErr w:type="spellStart"/>
            <w:r w:rsidRPr="00A371A1">
              <w:rPr>
                <w:rFonts w:asciiTheme="minorHAnsi" w:hAnsiTheme="minorHAnsi"/>
              </w:rPr>
              <w:t>UPSie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13.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Zewnętrzny bezprzerwowy bypass serwisowy pozwalający odłączyć UPS na wypadek awarii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Wymagany – Bypass zintegrowany z zasilaczem UPS.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14.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Automatyczny układ doładowywania baterii i ciągłego sprawdzania stanu naładowania oraz zabezpieczenie chroniące baterie przed głębokim rozładowaniem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15.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Czas podtrzymania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 minut dla obciążenia 5400W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16.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Baterie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Szczelne, bezobsługowe, w technologii AGM, o projektowanej żywotności min. 10-12 lat.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17.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Stabilizacja napięcia wyjściowego w stanie ustalonym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± 1%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18.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Stabilizacja napięcia wyjściowego w stanie nieustalonym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±  3%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19.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Stabilność częstotliwości wyjściowej: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bez synchronizacji:  ± 0,05%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20.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Współczynnik szczytu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3:1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Panel sterujący z </w:t>
            </w:r>
            <w:r w:rsidRPr="00A371A1">
              <w:rPr>
                <w:rFonts w:asciiTheme="minorHAnsi" w:hAnsiTheme="minorHAnsi"/>
              </w:rPr>
              <w:lastRenderedPageBreak/>
              <w:t>wyświetlaczem ciekłokrystalicznym LCD w języku polskim oraz sygnalizacją akustyczną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22.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Złącze interfejsów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RS232, USB, REPO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23.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Wyjściowa listwa do wpięcia UPS do instalacji stałej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Wymagana możliwość podłączenia przewodów o przekroju min 6mm2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24.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Gniazda wyjściowe IEC320 na zasilaczu UPS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 minimum gniazd</w:t>
            </w:r>
          </w:p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4 </w:t>
            </w:r>
            <w:proofErr w:type="spellStart"/>
            <w:r w:rsidRPr="00A371A1">
              <w:rPr>
                <w:rFonts w:asciiTheme="minorHAnsi" w:hAnsiTheme="minorHAnsi"/>
              </w:rPr>
              <w:t>szt</w:t>
            </w:r>
            <w:proofErr w:type="spellEnd"/>
            <w:r w:rsidRPr="00A371A1">
              <w:rPr>
                <w:rFonts w:asciiTheme="minorHAnsi" w:hAnsiTheme="minorHAnsi"/>
              </w:rPr>
              <w:t xml:space="preserve"> x IEC 320-C13</w:t>
            </w:r>
          </w:p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2 </w:t>
            </w:r>
            <w:proofErr w:type="spellStart"/>
            <w:r w:rsidRPr="00A371A1">
              <w:rPr>
                <w:rFonts w:asciiTheme="minorHAnsi" w:hAnsiTheme="minorHAnsi"/>
              </w:rPr>
              <w:t>szt</w:t>
            </w:r>
            <w:proofErr w:type="spellEnd"/>
            <w:r w:rsidRPr="00A371A1">
              <w:rPr>
                <w:rFonts w:asciiTheme="minorHAnsi" w:hAnsiTheme="minorHAnsi"/>
              </w:rPr>
              <w:t xml:space="preserve"> x IEC 320-C19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25.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Karta sieciowa SNMP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26.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Interfejs EPO (do wyłącznika ppoż.)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27.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Diagnostyka parametrów urządzenia UPS i baterii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Automatyczna diagnostyka parametrów urządzenia UPS i baterii na panelu UPS-a i z wykorzystaniem oprogramowania do zarządzania i monitorowania UPS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28.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zapewniające pełny monitoring, zarządzanie i automatyczny </w:t>
            </w:r>
            <w:proofErr w:type="spellStart"/>
            <w:r w:rsidRPr="00A371A1">
              <w:rPr>
                <w:rFonts w:asciiTheme="minorHAnsi" w:hAnsiTheme="minorHAnsi"/>
              </w:rPr>
              <w:t>shut</w:t>
            </w:r>
            <w:proofErr w:type="spellEnd"/>
            <w:r w:rsidRPr="00A371A1">
              <w:rPr>
                <w:rFonts w:asciiTheme="minorHAnsi" w:hAnsiTheme="minorHAnsi"/>
              </w:rPr>
              <w:t>-down systemu operacyjnego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29.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Poziom hałasu w odległości 1m,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&lt; 50 </w:t>
            </w:r>
            <w:proofErr w:type="spellStart"/>
            <w:r w:rsidRPr="00A371A1">
              <w:rPr>
                <w:rFonts w:asciiTheme="minorHAnsi" w:hAnsiTheme="minorHAnsi"/>
              </w:rPr>
              <w:t>dBA</w:t>
            </w:r>
            <w:proofErr w:type="spellEnd"/>
          </w:p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Wentylatory o regulowanej prędkości obrotowej w zależności od obciążenia i temperatury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30.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Rejestr zdarzeń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Dziennik zdarzeń w UPS-</w:t>
            </w:r>
            <w:proofErr w:type="spellStart"/>
            <w:r w:rsidRPr="00A371A1">
              <w:rPr>
                <w:rFonts w:asciiTheme="minorHAnsi" w:hAnsiTheme="minorHAnsi"/>
              </w:rPr>
              <w:t>ie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regulacji z panelu sterującego tolerancji napięcia wejściowego i częstotliwości wejściowej w linii bypassu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32.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Zabezpieczenie przed zwrotnym podaniem napięcia niebezpiecznego do obwodu zasilającego UPS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33.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C9F" w:rsidRPr="00A371A1" w:rsidRDefault="00F577D2" w:rsidP="003D7C9F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Spełnienie wszystkich obowiązujących norm w zakresie bezpieczeństwa ,kompatybilności elektromagnetycznej</w:t>
            </w:r>
            <w:r w:rsidR="009457C0" w:rsidRPr="00A371A1">
              <w:rPr>
                <w:rFonts w:asciiTheme="minorHAnsi" w:hAnsiTheme="minorHAnsi"/>
              </w:rPr>
              <w:t xml:space="preserve">. </w:t>
            </w:r>
            <w:r w:rsidR="003D7C9F" w:rsidRPr="00A371A1">
              <w:rPr>
                <w:rFonts w:asciiTheme="minorHAnsi" w:hAnsiTheme="minorHAnsi"/>
              </w:rPr>
              <w:t>Deklaracja zgodności CE (dokument załączyć do oferty)</w:t>
            </w:r>
            <w:r w:rsidR="009457C0" w:rsidRPr="00A371A1">
              <w:rPr>
                <w:rFonts w:asciiTheme="minorHAnsi" w:hAnsiTheme="minorHAnsi"/>
              </w:rPr>
              <w:t>.</w:t>
            </w:r>
          </w:p>
          <w:p w:rsidR="00F577D2" w:rsidRPr="00A371A1" w:rsidRDefault="00F577D2" w:rsidP="003D7C9F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34.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Instrukcja w języku polskim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E2B54">
        <w:tc>
          <w:tcPr>
            <w:tcW w:w="205" w:type="pct"/>
            <w:tcBorders>
              <w:bottom w:val="single" w:sz="4" w:space="0" w:color="auto"/>
            </w:tcBorders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35.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Gwarancja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24 miesiące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E2B54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E2B54" w:rsidRPr="00A371A1" w:rsidRDefault="001E2B54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41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1C7A3D" w:rsidRPr="00A371A1" w:rsidRDefault="001C7A3D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Serwer typ I</w:t>
            </w:r>
          </w:p>
        </w:tc>
        <w:tc>
          <w:tcPr>
            <w:tcW w:w="648" w:type="pct"/>
            <w:vMerge w:val="restart"/>
            <w:shd w:val="clear" w:color="auto" w:fill="D9D9D9"/>
            <w:vAlign w:val="center"/>
          </w:tcPr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"Wpisać oferowane parametry </w:t>
            </w:r>
          </w:p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 przypadku procesorów, należy bezwzględnie wpisać nazwę producenta/model, a także liczbę punktów uzyskanych w teście oraz podać moc obliczeniową)"</w:t>
            </w:r>
          </w:p>
        </w:tc>
      </w:tr>
      <w:tr w:rsidR="00A371A1" w:rsidRPr="00A371A1" w:rsidTr="00B3199E">
        <w:trPr>
          <w:trHeight w:val="417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1C7A3D" w:rsidRPr="00A371A1" w:rsidRDefault="001C7A3D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2</w:t>
            </w:r>
          </w:p>
        </w:tc>
        <w:tc>
          <w:tcPr>
            <w:tcW w:w="648" w:type="pct"/>
            <w:vMerge/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55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1C7A3D" w:rsidRPr="00A371A1" w:rsidRDefault="001C7A3D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 i 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648" w:type="pct"/>
            <w:vMerge/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1C7A3D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C7A3D" w:rsidRPr="00A371A1" w:rsidRDefault="001C7A3D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Parametr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D9D9D9"/>
          </w:tcPr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648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F25DCE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</w:t>
            </w:r>
            <w:r w:rsidR="00B7360C"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Procesor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0D70FB">
            <w:pPr>
              <w:pStyle w:val="Akapitzlist1"/>
              <w:numPr>
                <w:ilvl w:val="0"/>
                <w:numId w:val="2"/>
              </w:numPr>
              <w:autoSpaceDN w:val="0"/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Procesory dedykowane do pracy z zaoferowanym serwerem umożliwiające osiągnięcie wyniku minimum 800 punktów w teście SPECint_rate_base2006 dostępnym na stronie internetowej www.spec.org dla konfiguracji dwuprocesorowej; do oferty należy załączyć wydruk z wynikiem testu dla </w:t>
            </w:r>
            <w:r w:rsidRPr="00A371A1">
              <w:rPr>
                <w:rFonts w:asciiTheme="minorHAnsi" w:hAnsiTheme="minorHAnsi"/>
              </w:rPr>
              <w:lastRenderedPageBreak/>
              <w:t>oferowanego modelu serwera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2"/>
              </w:numPr>
              <w:autoSpaceDN w:val="0"/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MOC OBLICZENIOWA serwera co najmniej 730,0 </w:t>
            </w:r>
            <w:proofErr w:type="spellStart"/>
            <w:r w:rsidRPr="00A371A1">
              <w:rPr>
                <w:rFonts w:asciiTheme="minorHAnsi" w:hAnsiTheme="minorHAnsi"/>
              </w:rPr>
              <w:t>GFlops</w:t>
            </w:r>
            <w:proofErr w:type="spellEnd"/>
            <w:r w:rsidRPr="00A371A1">
              <w:rPr>
                <w:rFonts w:asciiTheme="minorHAnsi" w:hAnsiTheme="minorHAnsi"/>
              </w:rPr>
              <w:t>, gdzie MOC OBLICZENIOWA definiowana jest wzorem:</w:t>
            </w: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Rproc</w:t>
            </w:r>
            <w:proofErr w:type="spellEnd"/>
            <w:r w:rsidRPr="00A371A1">
              <w:rPr>
                <w:rFonts w:asciiTheme="minorHAnsi" w:hAnsiTheme="minorHAnsi"/>
              </w:rPr>
              <w:t xml:space="preserve"> = C * I * F,</w:t>
            </w: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gdzie:</w:t>
            </w: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0D70FB" w:rsidRPr="00A371A1" w:rsidRDefault="000D70FB" w:rsidP="000D70F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Rproc</w:t>
            </w:r>
            <w:proofErr w:type="spellEnd"/>
            <w:r w:rsidRPr="00A371A1">
              <w:rPr>
                <w:rFonts w:asciiTheme="minorHAnsi" w:hAnsiTheme="minorHAnsi"/>
              </w:rPr>
              <w:t xml:space="preserve"> - moc obliczeniowa w </w:t>
            </w:r>
            <w:proofErr w:type="spellStart"/>
            <w:r w:rsidRPr="00A371A1">
              <w:rPr>
                <w:rFonts w:asciiTheme="minorHAnsi" w:hAnsiTheme="minorHAnsi"/>
              </w:rPr>
              <w:t>GFlops</w:t>
            </w:r>
            <w:proofErr w:type="spellEnd"/>
          </w:p>
          <w:p w:rsidR="000D70FB" w:rsidRPr="00A371A1" w:rsidRDefault="000D70FB" w:rsidP="000D70F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 -  liczba rdzeni procesora</w:t>
            </w:r>
          </w:p>
          <w:p w:rsidR="000D70FB" w:rsidRPr="00A371A1" w:rsidRDefault="000D70FB" w:rsidP="000D70F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I - liczba instrukcji zmiennoprzecinkowych  typu dodawanie i mnożenie w podwójnej precyzji wykonywanych przez pojedynczy rdzeń procesora w czasie jednego cyklu zegarowego (np. dla procesora  Intel Xeon (seria 5600) wynosi 4, dla procesorów AMD </w:t>
            </w:r>
            <w:proofErr w:type="spellStart"/>
            <w:r w:rsidRPr="00A371A1">
              <w:rPr>
                <w:rFonts w:asciiTheme="minorHAnsi" w:hAnsiTheme="minorHAnsi"/>
              </w:rPr>
              <w:t>Opteron</w:t>
            </w:r>
            <w:proofErr w:type="spellEnd"/>
            <w:r w:rsidRPr="00A371A1">
              <w:rPr>
                <w:rFonts w:asciiTheme="minorHAnsi" w:hAnsiTheme="minorHAnsi"/>
              </w:rPr>
              <w:t xml:space="preserve"> wynosi 4),</w:t>
            </w:r>
          </w:p>
          <w:p w:rsidR="000D70FB" w:rsidRPr="00A371A1" w:rsidRDefault="000D70FB" w:rsidP="000D70F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F -</w:t>
            </w:r>
            <w:r w:rsidRPr="00A371A1">
              <w:rPr>
                <w:rFonts w:asciiTheme="minorHAnsi" w:hAnsiTheme="minorHAnsi"/>
              </w:rPr>
              <w:tab/>
              <w:t>częstotliwość zegara procesora w GHz.</w:t>
            </w: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Dla potrzeb niniejszej specyfikacji Zamawiający jako częstotliwość zegara przyjmuje nominalną częstotliwość zegara procesora podawaną przez producenta procesora przy  handlowym opisie procesora. Pomimo, że procesor może pracować z częstotliwością niższą lub wyższą niż wyżej wspomniana częstotliwość jako częstotliwość do obliczenia mocy obliczeniowej procesora w niniejszej specyfikacji należy przyjąć właśnie częstotliwość podawaną przy opisach handlowych przez producentów procesorów.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Nazwa producenta/model: …</w:t>
            </w:r>
          </w:p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Liczba pkt. w teście: …</w:t>
            </w:r>
          </w:p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Moc obliczeniowa: …</w:t>
            </w: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F25DCE">
            <w:pPr>
              <w:rPr>
                <w:rFonts w:asciiTheme="minorHAnsi" w:hAnsiTheme="minorHAnsi"/>
                <w:lang w:eastAsia="pl-PL"/>
              </w:rPr>
            </w:pPr>
            <w:r w:rsidRPr="00A371A1">
              <w:rPr>
                <w:rFonts w:asciiTheme="minorHAnsi" w:eastAsia="Times New Roman" w:hAnsiTheme="minorHAnsi"/>
                <w:lang w:eastAsia="pl-PL"/>
              </w:rPr>
              <w:lastRenderedPageBreak/>
              <w:t>2.</w:t>
            </w:r>
            <w:r w:rsidR="00F25DCE" w:rsidRPr="00A371A1">
              <w:rPr>
                <w:rFonts w:asciiTheme="minorHAnsi" w:hAnsiTheme="minorHAnsi"/>
                <w:lang w:eastAsia="pl-PL"/>
              </w:rPr>
              <w:t xml:space="preserve"> 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Obudowa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Obudowa </w:t>
            </w:r>
            <w:proofErr w:type="spellStart"/>
            <w:r w:rsidRPr="00A371A1">
              <w:rPr>
                <w:rFonts w:asciiTheme="minorHAnsi" w:hAnsiTheme="minorHAnsi"/>
              </w:rPr>
              <w:t>Rack</w:t>
            </w:r>
            <w:proofErr w:type="spellEnd"/>
            <w:r w:rsidRPr="00A371A1">
              <w:rPr>
                <w:rFonts w:asciiTheme="minorHAnsi" w:hAnsiTheme="minorHAnsi"/>
              </w:rPr>
              <w:t xml:space="preserve"> o wysokości max 1U z możliwością instalacji do 4 dysków 3.5" </w:t>
            </w:r>
            <w:proofErr w:type="spellStart"/>
            <w:r w:rsidRPr="00A371A1">
              <w:rPr>
                <w:rFonts w:asciiTheme="minorHAnsi" w:hAnsiTheme="minorHAnsi"/>
              </w:rPr>
              <w:t>HotPlug</w:t>
            </w:r>
            <w:proofErr w:type="spellEnd"/>
            <w:r w:rsidRPr="00A371A1">
              <w:rPr>
                <w:rFonts w:asciiTheme="minorHAnsi" w:hAnsiTheme="minorHAnsi"/>
              </w:rPr>
              <w:t xml:space="preserve"> wraz z kompletem wysuwanych szyn umożliwiających montaż w szafie </w:t>
            </w:r>
            <w:proofErr w:type="spellStart"/>
            <w:r w:rsidRPr="00A371A1">
              <w:rPr>
                <w:rFonts w:asciiTheme="minorHAnsi" w:hAnsiTheme="minorHAnsi"/>
              </w:rPr>
              <w:t>rack</w:t>
            </w:r>
            <w:proofErr w:type="spellEnd"/>
            <w:r w:rsidRPr="00A371A1">
              <w:rPr>
                <w:rFonts w:asciiTheme="minorHAnsi" w:hAnsiTheme="minorHAnsi"/>
              </w:rPr>
              <w:t xml:space="preserve"> i wysuwanie serwera do celów serwisowych.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Posiadająca dodatkowy przedni panel zamykany na klucz, chroniący dyski twarde przed nieuprawnionym wyjęciem z serwera.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rPr>
                <w:rFonts w:asciiTheme="minorHAnsi" w:hAnsiTheme="minorHAnsi"/>
                <w:lang w:eastAsia="pl-PL"/>
              </w:rPr>
            </w:pPr>
            <w:r w:rsidRPr="00A371A1">
              <w:rPr>
                <w:rFonts w:asciiTheme="minorHAnsi" w:eastAsia="Times New Roman" w:hAnsiTheme="minorHAnsi"/>
                <w:lang w:eastAsia="pl-PL"/>
              </w:rPr>
              <w:t>3.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Pamięć RAM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Zainstalowane minimum 128 GB pamięci DDR4 RDIMM o częstotliwości pracy 2133MHz 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Wszystkie moduły pamięci RAM wszystkich SERWERÓW muszą być identyczne między sobą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Co najmniej 12 szczelin przeznaczonych dla modułów pamięci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Co najmniej 25%szczelin  na pamięci RAM w każdym SERWERZE musi zostać nieobsadzona, gotowa do dalszej rozbudowy.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Każdy SERWER musi być gotowy do obsadzenia 384 GB lub więcej pamięci RAM poprzez wymianę modułów pamięci RAM  pomiędzy SERWERAMI.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Możliwe zabezpieczenia pamięci: Memory </w:t>
            </w:r>
            <w:proofErr w:type="spellStart"/>
            <w:r w:rsidRPr="00A371A1">
              <w:rPr>
                <w:rFonts w:asciiTheme="minorHAnsi" w:hAnsiTheme="minorHAnsi"/>
              </w:rPr>
              <w:t>Rank</w:t>
            </w:r>
            <w:proofErr w:type="spellEnd"/>
            <w:r w:rsidRPr="00A371A1">
              <w:rPr>
                <w:rFonts w:asciiTheme="minorHAnsi" w:hAnsiTheme="minorHAnsi"/>
              </w:rPr>
              <w:t xml:space="preserve"> Sparing, Memory Mirror, </w:t>
            </w:r>
            <w:proofErr w:type="spellStart"/>
            <w:r w:rsidRPr="00A371A1">
              <w:rPr>
                <w:rFonts w:asciiTheme="minorHAnsi" w:hAnsiTheme="minorHAnsi"/>
              </w:rPr>
              <w:t>Lockstep</w:t>
            </w:r>
            <w:proofErr w:type="spellEnd"/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rPr>
                <w:rFonts w:asciiTheme="minorHAnsi" w:hAnsiTheme="minorHAnsi"/>
                <w:lang w:eastAsia="pl-PL"/>
              </w:rPr>
            </w:pPr>
            <w:r w:rsidRPr="00A371A1">
              <w:rPr>
                <w:rFonts w:asciiTheme="minorHAnsi" w:eastAsia="Times New Roman" w:hAnsiTheme="minorHAnsi"/>
                <w:lang w:eastAsia="pl-PL"/>
              </w:rPr>
              <w:t>4.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Płyta główna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Płyta główna z możliwością zainstalowania minimum dwóch procesorów  cztero-, sześcio- lub ośmiordzeniowych. Płyta główna musi być zaprojektowana przez producenta serwera i oznaczona jego znakiem firmowym.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5.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Sloty</w:t>
            </w:r>
            <w:proofErr w:type="spellEnd"/>
            <w:r w:rsidRPr="00A371A1">
              <w:rPr>
                <w:rFonts w:asciiTheme="minorHAnsi" w:hAnsiTheme="minorHAnsi"/>
              </w:rPr>
              <w:t xml:space="preserve"> PCI Express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Min. Dwa </w:t>
            </w:r>
            <w:proofErr w:type="spellStart"/>
            <w:r w:rsidRPr="00A371A1">
              <w:rPr>
                <w:rFonts w:asciiTheme="minorHAnsi" w:hAnsiTheme="minorHAnsi"/>
              </w:rPr>
              <w:t>sloty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PCIe</w:t>
            </w:r>
            <w:proofErr w:type="spellEnd"/>
            <w:r w:rsidRPr="00A371A1">
              <w:rPr>
                <w:rFonts w:asciiTheme="minorHAnsi" w:hAnsiTheme="minorHAnsi"/>
              </w:rPr>
              <w:t xml:space="preserve"> Gen 3, z czego minimum jeden o przepustowości x16.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6.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Wbudowane porty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min. 5 portów USB z czego min 2 porty 3.0 , 2 porty RJ45, 2 porty VGA (1 na przednim panelu obudowy, drugi na tylnym), min. 1 port RS232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7.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Karta graficzna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Zintegrowana karta graficzna  umożliwiająca rozdzielczość min. 1280x1024.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8.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Interfejsy sieciowe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Wbudowana czteroportowa karta 1GbE Ethernet w standardzie Base-T.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9.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Kontroler dyskowy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Sprzętowy kontroler dyskowy, umożliwiający konfigurację poziomów RAID: 0, 1, 5, 10, 50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Kontroler dodatkowy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Zainstalowana dwuportowa karta HBA posiadająca min. 2 złącza zewnętrzne SAS o prędkości minimum 6Gb/s zapewniający poprawną współpracę z oferowaną MACIERZĄ DYSKOWĄ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11.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Wewnętrzna pamięć masowa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instalacji dysków SATA, </w:t>
            </w:r>
            <w:proofErr w:type="spellStart"/>
            <w:r w:rsidRPr="00A371A1">
              <w:rPr>
                <w:rFonts w:asciiTheme="minorHAnsi" w:hAnsiTheme="minorHAnsi"/>
              </w:rPr>
              <w:t>NearLine</w:t>
            </w:r>
            <w:proofErr w:type="spellEnd"/>
            <w:r w:rsidRPr="00A371A1">
              <w:rPr>
                <w:rFonts w:asciiTheme="minorHAnsi" w:hAnsiTheme="minorHAnsi"/>
              </w:rPr>
              <w:t xml:space="preserve"> SAS, SAS, SSD i SED dostępnych w ofercie producenta serwera.</w:t>
            </w:r>
            <w:r w:rsidRPr="00A371A1">
              <w:rPr>
                <w:rFonts w:asciiTheme="minorHAnsi" w:hAnsiTheme="minorHAnsi"/>
              </w:rPr>
              <w:tab/>
            </w:r>
            <w:r w:rsidRPr="00A371A1">
              <w:rPr>
                <w:rFonts w:asciiTheme="minorHAnsi" w:hAnsiTheme="minorHAnsi"/>
              </w:rPr>
              <w:tab/>
              <w:t xml:space="preserve"> 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Zainstalowany wewnętrzny moduł dedykowany dla </w:t>
            </w:r>
            <w:proofErr w:type="spellStart"/>
            <w:r w:rsidRPr="00A371A1">
              <w:rPr>
                <w:rFonts w:asciiTheme="minorHAnsi" w:hAnsiTheme="minorHAnsi"/>
              </w:rPr>
              <w:t>hypervisora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wirtualizacyjnego</w:t>
            </w:r>
            <w:proofErr w:type="spellEnd"/>
            <w:r w:rsidRPr="00A371A1">
              <w:rPr>
                <w:rFonts w:asciiTheme="minorHAnsi" w:hAnsiTheme="minorHAnsi"/>
              </w:rPr>
              <w:t xml:space="preserve">, wyposażony w dwa jednakowe nośniki typu </w:t>
            </w:r>
            <w:proofErr w:type="spellStart"/>
            <w:r w:rsidRPr="00A371A1">
              <w:rPr>
                <w:rFonts w:asciiTheme="minorHAnsi" w:hAnsiTheme="minorHAnsi"/>
              </w:rPr>
              <w:t>flash</w:t>
            </w:r>
            <w:proofErr w:type="spellEnd"/>
            <w:r w:rsidRPr="00A371A1">
              <w:rPr>
                <w:rFonts w:asciiTheme="minorHAnsi" w:hAnsiTheme="minorHAnsi"/>
              </w:rPr>
              <w:t xml:space="preserve"> o pojemności minimum 2GB każdy z możliwością skonfigurowania zabezpieczenia typu "mirror" pomiędzy nośnikami z poziomu BIOS serwera, lub 2 dyski twarde typu Flash skonfigurowane w zabezpieczenie RAID 1 -  rozwiązanie nie może powodować zmniejszenia ilości wnęk na dyski twarde.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12.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Napęd optyczny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Zainstalowany wewnętrzny napęd umożliwiający odczyt i zapis nośników DVD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13.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System diagnostyczny oraz bezpieczeństwo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Panel LCD umieszczony na froncie obudowy, umożliwiający wyświetlenie informacji o stanie procesora, pamięci, dysków, </w:t>
            </w:r>
            <w:proofErr w:type="spellStart"/>
            <w:r w:rsidRPr="00A371A1">
              <w:rPr>
                <w:rFonts w:asciiTheme="minorHAnsi" w:hAnsiTheme="minorHAnsi"/>
              </w:rPr>
              <w:t>BIOS’u</w:t>
            </w:r>
            <w:proofErr w:type="spellEnd"/>
            <w:r w:rsidRPr="00A371A1">
              <w:rPr>
                <w:rFonts w:asciiTheme="minorHAnsi" w:hAnsiTheme="minorHAnsi"/>
              </w:rPr>
              <w:t xml:space="preserve">, zasilaniu oraz temperaturze. Zintegrowany z płytą główną </w:t>
            </w:r>
            <w:r w:rsidRPr="00A371A1">
              <w:rPr>
                <w:rFonts w:asciiTheme="minorHAnsi" w:hAnsiTheme="minorHAnsi"/>
              </w:rPr>
              <w:lastRenderedPageBreak/>
              <w:t>moduł TPM. Wbudowany czujnik otwarcia obudowy współpracujący z BIOS i kartą zarządzającą.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14.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Zasilanie i chłodzenie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Dwa redundantne zasilacze hot plug o mocy maks. 550W każdy.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Minimum 6 redundantnych wentylatorów.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15.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Zarządzanie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Zainstalowana niezależna od zainstalowanego na serwerze systemu operacyjnego posiadająca dedykowany port RJ-45 Gigabit Ethernet umożliwiająca: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zdalny dostęp do graficznego interfejsu Web karty zarządzającej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zdalne monitorowanie i informowanie o statusie serwera (m.in. prędkości obrotowej wentylatorów, konfiguracji serwera)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szyfrowane połączenie (SSLv3) oraz autentykacje i autoryzację użytkownika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podmontowania zdalnych wirtualnych napędów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wirtualną konsolę z dostępem do myszy, klawiatury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wsparcie dla IPv6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proofErr w:type="spellStart"/>
            <w:r w:rsidRPr="00A371A1">
              <w:rPr>
                <w:rFonts w:asciiTheme="minorHAnsi" w:hAnsiTheme="minorHAnsi"/>
                <w:lang w:val="en-US"/>
              </w:rPr>
              <w:t>wsparcie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dla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WSMAN (Web Service for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Managament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>); SNMP; IPMI2.0, VLAN tagging, Telnet, SSH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zdalnego monitorowania w czasie rzeczywistym poboru prądu przez serwer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zdalnego ustawienia limitu poboru prądu przez konkretny serwer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integracja z Active Directory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obsługi przez dwóch </w:t>
            </w:r>
            <w:r w:rsidRPr="00A371A1">
              <w:rPr>
                <w:rFonts w:asciiTheme="minorHAnsi" w:hAnsiTheme="minorHAnsi"/>
              </w:rPr>
              <w:lastRenderedPageBreak/>
              <w:t>administratorów jednocześnie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wsparcie dla </w:t>
            </w:r>
            <w:proofErr w:type="spellStart"/>
            <w:r w:rsidRPr="00A371A1">
              <w:rPr>
                <w:rFonts w:asciiTheme="minorHAnsi" w:hAnsiTheme="minorHAnsi"/>
              </w:rPr>
              <w:t>dynamic</w:t>
            </w:r>
            <w:proofErr w:type="spellEnd"/>
            <w:r w:rsidRPr="00A371A1">
              <w:rPr>
                <w:rFonts w:asciiTheme="minorHAnsi" w:hAnsiTheme="minorHAnsi"/>
              </w:rPr>
              <w:t xml:space="preserve"> DNS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wysyłanie do administratora maila z powiadomieniem o awarii lub zmianie konfiguracji sprzętowej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podłączenia lokalnego poprzez złącze RS-232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automatyczne przywracanie ustawień serwera, kart sieciowych, BIOS, wersji </w:t>
            </w:r>
            <w:proofErr w:type="spellStart"/>
            <w:r w:rsidRPr="00A371A1">
              <w:rPr>
                <w:rFonts w:asciiTheme="minorHAnsi" w:hAnsiTheme="minorHAnsi"/>
              </w:rPr>
              <w:t>firmware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w przypadku awarii i wymiany któregoś z komponentów (w tym kontrolera RAID, kart sieciowych, płyty głównej) zapisanych na dedykowanej pamięci </w:t>
            </w:r>
            <w:proofErr w:type="spellStart"/>
            <w:r w:rsidRPr="00A371A1">
              <w:rPr>
                <w:rFonts w:asciiTheme="minorHAnsi" w:hAnsiTheme="minorHAnsi"/>
              </w:rPr>
              <w:t>flash</w:t>
            </w:r>
            <w:proofErr w:type="spellEnd"/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Dodatkowe oprogramowanie umożliwiające zarządzanie poprzez sieć, spełniające minimalne wymagania: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Wsparcie dla serwerów, urządzeń sieciowych oraz pamięci masowych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zarządzania dostarczonymi serwerami bez udziału dedykowanego agenta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Wsparcie dla protokołów– WMI, SNMP, IPMI, </w:t>
            </w:r>
            <w:proofErr w:type="spellStart"/>
            <w:r w:rsidRPr="00A371A1">
              <w:rPr>
                <w:rFonts w:asciiTheme="minorHAnsi" w:hAnsiTheme="minorHAnsi"/>
              </w:rPr>
              <w:t>WSMan</w:t>
            </w:r>
            <w:proofErr w:type="spellEnd"/>
            <w:r w:rsidRPr="00A371A1">
              <w:rPr>
                <w:rFonts w:asciiTheme="minorHAnsi" w:hAnsiTheme="minorHAnsi"/>
              </w:rPr>
              <w:t>, Linux SSH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</w:t>
            </w:r>
            <w:proofErr w:type="spellStart"/>
            <w:r w:rsidRPr="00A371A1">
              <w:rPr>
                <w:rFonts w:asciiTheme="minorHAnsi" w:hAnsiTheme="minorHAnsi"/>
              </w:rPr>
              <w:t>oskryptowywania</w:t>
            </w:r>
            <w:proofErr w:type="spellEnd"/>
            <w:r w:rsidRPr="00A371A1">
              <w:rPr>
                <w:rFonts w:asciiTheme="minorHAnsi" w:hAnsiTheme="minorHAnsi"/>
              </w:rPr>
              <w:t xml:space="preserve"> procesu wykrywania urządzeń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uruchamiania procesu wykrywania urządzeń w oparciu o harmonogram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Szczegółowy opis wykrytych systemów oraz ich komponentów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eksportu raportu do CSV, HTML, XLS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Grupowanie urządzeń w oparciu o kryteria użytkownika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uruchamiania narzędzi zarządzających w poszczególnych urządzeniach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Automatyczne skrypty CLI umożliwiające dodawanie i edycję grup urządzeń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Szybki podgląd stanu środowiska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Podsumowanie stanu dla każdego urządzenia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Szczegółowy status urządzenia/elementu/komponentu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Generowanie alertów przy zmianie stanu urządzenia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Filtry raportów umożliwiające podgląd najważniejszych zdarzeń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Integracja z service </w:t>
            </w:r>
            <w:proofErr w:type="spellStart"/>
            <w:r w:rsidRPr="00A371A1">
              <w:rPr>
                <w:rFonts w:asciiTheme="minorHAnsi" w:hAnsiTheme="minorHAnsi"/>
              </w:rPr>
              <w:t>desk</w:t>
            </w:r>
            <w:proofErr w:type="spellEnd"/>
            <w:r w:rsidRPr="00A371A1">
              <w:rPr>
                <w:rFonts w:asciiTheme="minorHAnsi" w:hAnsiTheme="minorHAnsi"/>
              </w:rPr>
              <w:t xml:space="preserve"> producenta dostarczonej platformy sprzętowej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przejęcia zdalnego pulpitu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podmontowania wirtualnego napędu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Automatyczne zaplanowanie akcji dla poszczególnych alertów w tym automatyczne tworzenie zgłoszeń serwisowych w oparciu o standardy przyjęte przez producentów oferowanego w tym postępowaniu sprzętu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Kreator umożliwiający dostosowanie akcji dla wybranych alertów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importu plików MIB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Przesyłanie alertów „as-</w:t>
            </w:r>
            <w:proofErr w:type="spellStart"/>
            <w:r w:rsidRPr="00A371A1">
              <w:rPr>
                <w:rFonts w:asciiTheme="minorHAnsi" w:hAnsiTheme="minorHAnsi"/>
              </w:rPr>
              <w:t>is</w:t>
            </w:r>
            <w:proofErr w:type="spellEnd"/>
            <w:r w:rsidRPr="00A371A1">
              <w:rPr>
                <w:rFonts w:asciiTheme="minorHAnsi" w:hAnsiTheme="minorHAnsi"/>
              </w:rPr>
              <w:t xml:space="preserve">” do innych konsol </w:t>
            </w:r>
            <w:proofErr w:type="spellStart"/>
            <w:r w:rsidRPr="00A371A1">
              <w:rPr>
                <w:rFonts w:asciiTheme="minorHAnsi" w:hAnsiTheme="minorHAnsi"/>
              </w:rPr>
              <w:t>konsol</w:t>
            </w:r>
            <w:proofErr w:type="spellEnd"/>
            <w:r w:rsidRPr="00A371A1">
              <w:rPr>
                <w:rFonts w:asciiTheme="minorHAnsi" w:hAnsiTheme="minorHAnsi"/>
              </w:rPr>
              <w:t xml:space="preserve"> firm trzecich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definiowania ról </w:t>
            </w:r>
            <w:r w:rsidRPr="00A371A1">
              <w:rPr>
                <w:rFonts w:asciiTheme="minorHAnsi" w:hAnsiTheme="minorHAnsi"/>
              </w:rPr>
              <w:lastRenderedPageBreak/>
              <w:t>administratorów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zdalnej aktualizacji sterowników i oprogramowania wewnętrznego serwerów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Aktualizacja oparta o wybranie źródła bibliotek (lokalna, on-line producenta oferowanego rozwiązania)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instalacji sterowników i oprogramowania wewnętrznego bez potrzeby instalacji agenta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automatycznego generowania i zgłaszania incydentów awarii bezpośrednio do centrum serwisowego producenta serwerów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gwarancji, adresy IP kart sieciowych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16.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Gwarancja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7A38C4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Minimum 36 m-</w:t>
            </w:r>
            <w:proofErr w:type="spellStart"/>
            <w:r w:rsidRPr="00A371A1">
              <w:rPr>
                <w:rFonts w:asciiTheme="minorHAnsi" w:hAnsiTheme="minorHAnsi"/>
              </w:rPr>
              <w:t>cy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r w:rsidR="000D70FB" w:rsidRPr="00A371A1">
              <w:rPr>
                <w:rFonts w:asciiTheme="minorHAnsi" w:hAnsiTheme="minorHAnsi"/>
              </w:rPr>
              <w:t>gwarancji realizowanej w miejscu instalacji sprzętu, z czasem reakcji do następnego dnia roboczego od przyjęcia zgłoszenia, możliwość zgłaszania awarii w trybie 24x7x365 poprzez ogólnopolską linię telefoniczną producenta. Możliwość rozszerzenia gwarancji producenta do siedmiu lat.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 przypadku awarii diagnostyka przeprowadzona w miejscu instalacji przez pracownika autoryzowanego serwisu producenta.  </w:t>
            </w:r>
          </w:p>
          <w:p w:rsidR="0065698A" w:rsidRPr="00A371A1" w:rsidRDefault="0065698A" w:rsidP="0065698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 xml:space="preserve">Firma serwisująca musi posiadać ISO 9001:2000 na świadczenie usług serwisowych oraz posiadać autoryzacje producenta serwera – dokumenty potwierdzające </w:t>
            </w:r>
            <w:r w:rsidR="00972643" w:rsidRPr="00A371A1">
              <w:rPr>
                <w:rFonts w:asciiTheme="minorHAnsi" w:hAnsiTheme="minorHAnsi"/>
              </w:rPr>
              <w:t>Wykonawca przedstawi najpóźniej do dnia podpisania umowy</w:t>
            </w:r>
            <w:r w:rsidRPr="00A371A1">
              <w:rPr>
                <w:rFonts w:asciiTheme="minorHAnsi" w:hAnsiTheme="minorHAnsi"/>
              </w:rPr>
              <w:t>.</w:t>
            </w:r>
          </w:p>
          <w:p w:rsidR="00972643" w:rsidRPr="00A371A1" w:rsidRDefault="0065698A" w:rsidP="009726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Oświadczenie producenta serwera, że w przypadku nie wywiązywania się z obowiązków gwarancyjnych oferenta lub firmy serwisującej, przejmie na siebie wszelkie zobowiązania związane z serwisem –  </w:t>
            </w:r>
            <w:r w:rsidR="00972643" w:rsidRPr="00A371A1">
              <w:rPr>
                <w:rFonts w:asciiTheme="minorHAnsi" w:hAnsiTheme="minorHAnsi"/>
              </w:rPr>
              <w:t>dokument potwierdzając</w:t>
            </w:r>
            <w:r w:rsidR="00A371A1" w:rsidRPr="00A371A1">
              <w:rPr>
                <w:rFonts w:asciiTheme="minorHAnsi" w:hAnsiTheme="minorHAnsi"/>
              </w:rPr>
              <w:t>y</w:t>
            </w:r>
            <w:r w:rsidR="00972643" w:rsidRPr="00A371A1">
              <w:rPr>
                <w:rFonts w:asciiTheme="minorHAnsi" w:hAnsiTheme="minorHAnsi"/>
              </w:rPr>
              <w:t xml:space="preserve"> Wykonawca przedstawi najpóźniej do dnia podpisania umowy.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telefonicznego i elektronicznego sprawdzenia konfiguracji sprzętowej serwera oraz warunków gwarancji po podaniu numeru seryjnego bezpośrednio u producenta oraz poprzez stronę internetową producenta lub jego przedstawiciela.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Dokumentacja dostarczona wraz z serwerem dostępna w języku polskim lub angielskim.</w:t>
            </w:r>
          </w:p>
        </w:tc>
        <w:tc>
          <w:tcPr>
            <w:tcW w:w="648" w:type="pct"/>
          </w:tcPr>
          <w:p w:rsidR="00B1681D" w:rsidRPr="00A371A1" w:rsidRDefault="00B1681D" w:rsidP="00B1681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lastRenderedPageBreak/>
              <w:t xml:space="preserve"> </w:t>
            </w:r>
          </w:p>
        </w:tc>
        <w:tc>
          <w:tcPr>
            <w:tcW w:w="1523" w:type="pct"/>
          </w:tcPr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Parametr gwarancji stanowi kryterium oceny oferty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36 m-ce – 1 pkt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48 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Pr="00A371A1">
              <w:rPr>
                <w:rFonts w:asciiTheme="minorHAnsi" w:hAnsiTheme="minorHAnsi"/>
                <w:i/>
              </w:rPr>
              <w:t xml:space="preserve"> – 5 pkt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60 i więcej 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Pr="00A371A1">
              <w:rPr>
                <w:rFonts w:asciiTheme="minorHAnsi" w:hAnsiTheme="minorHAnsi"/>
                <w:i/>
              </w:rPr>
              <w:t xml:space="preserve"> – 20 pkt</w:t>
            </w:r>
          </w:p>
          <w:p w:rsidR="000D70FB" w:rsidRPr="00A371A1" w:rsidRDefault="00592B43" w:rsidP="00E551A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  <w:i/>
              </w:rPr>
              <w:t xml:space="preserve"> Proszę podać okres gwarancji …………………m-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="00E551A3">
              <w:rPr>
                <w:rFonts w:asciiTheme="minorHAnsi" w:hAnsiTheme="minorHAnsi"/>
                <w:i/>
              </w:rPr>
              <w:t>; wpis p</w:t>
            </w:r>
            <w:r w:rsidR="00A371A1" w:rsidRPr="00A371A1">
              <w:rPr>
                <w:rFonts w:asciiTheme="minorHAnsi" w:hAnsiTheme="minorHAnsi"/>
                <w:i/>
              </w:rPr>
              <w:t xml:space="preserve">owtórzyć w Formularzu ofertowym. </w:t>
            </w:r>
          </w:p>
        </w:tc>
      </w:tr>
      <w:tr w:rsidR="00A371A1" w:rsidRPr="00247090" w:rsidTr="004F3B75">
        <w:tc>
          <w:tcPr>
            <w:tcW w:w="205" w:type="pct"/>
            <w:tcBorders>
              <w:bottom w:val="single" w:sz="4" w:space="0" w:color="auto"/>
            </w:tcBorders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17.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Certyfikaty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auto"/>
          </w:tcPr>
          <w:p w:rsidR="000D70FB" w:rsidRPr="00A371A1" w:rsidRDefault="009F6EA4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Certyfikat ISO 9001 </w:t>
            </w:r>
            <w:r w:rsidR="009A6817" w:rsidRPr="00A371A1">
              <w:rPr>
                <w:rFonts w:asciiTheme="minorHAnsi" w:hAnsiTheme="minorHAnsi"/>
              </w:rPr>
              <w:t xml:space="preserve">ISO-14001  </w:t>
            </w:r>
            <w:r w:rsidR="00C84408" w:rsidRPr="00A371A1">
              <w:rPr>
                <w:rFonts w:asciiTheme="minorHAnsi" w:hAnsiTheme="minorHAnsi"/>
              </w:rPr>
              <w:t xml:space="preserve">dla producenta sprzętu </w:t>
            </w:r>
            <w:r w:rsidR="000D70FB" w:rsidRPr="00A371A1">
              <w:rPr>
                <w:rFonts w:asciiTheme="minorHAnsi" w:hAnsiTheme="minorHAnsi"/>
              </w:rPr>
              <w:t xml:space="preserve"> (</w:t>
            </w:r>
            <w:r w:rsidR="00C84408" w:rsidRPr="00A371A1">
              <w:rPr>
                <w:rFonts w:asciiTheme="minorHAnsi" w:hAnsiTheme="minorHAnsi"/>
              </w:rPr>
              <w:t>załączyć dokument potwierdzający spełnianie wymogu</w:t>
            </w:r>
            <w:r w:rsidR="000D70FB" w:rsidRPr="00A371A1">
              <w:rPr>
                <w:rFonts w:asciiTheme="minorHAnsi" w:hAnsiTheme="minorHAnsi"/>
              </w:rPr>
              <w:t>)</w:t>
            </w:r>
          </w:p>
          <w:p w:rsidR="000D70FB" w:rsidRPr="00A371A1" w:rsidRDefault="007A38C4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</w:t>
            </w:r>
            <w:r w:rsidR="000D70FB" w:rsidRPr="00A371A1">
              <w:rPr>
                <w:rFonts w:asciiTheme="minorHAnsi" w:hAnsiTheme="minorHAnsi"/>
              </w:rPr>
              <w:t xml:space="preserve">eklaracja </w:t>
            </w:r>
            <w:r w:rsidR="00C84408" w:rsidRPr="00A371A1">
              <w:rPr>
                <w:rFonts w:asciiTheme="minorHAnsi" w:hAnsiTheme="minorHAnsi"/>
              </w:rPr>
              <w:t xml:space="preserve">zgodności </w:t>
            </w:r>
            <w:r w:rsidR="000D70FB" w:rsidRPr="00A371A1">
              <w:rPr>
                <w:rFonts w:asciiTheme="minorHAnsi" w:hAnsiTheme="minorHAnsi"/>
              </w:rPr>
              <w:t>CE (dokument załączyć do oferty)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</w:rPr>
              <w:t xml:space="preserve">Oferowany serwer musi znajdować się na liście Windows Server </w:t>
            </w:r>
            <w:proofErr w:type="spellStart"/>
            <w:r w:rsidRPr="00A371A1">
              <w:rPr>
                <w:rFonts w:asciiTheme="minorHAnsi" w:hAnsiTheme="minorHAnsi"/>
              </w:rPr>
              <w:t>Catalog</w:t>
            </w:r>
            <w:proofErr w:type="spellEnd"/>
            <w:r w:rsidRPr="00A371A1">
              <w:rPr>
                <w:rFonts w:asciiTheme="minorHAnsi" w:hAnsiTheme="minorHAnsi"/>
              </w:rPr>
              <w:t xml:space="preserve"> i posiadać status „</w:t>
            </w:r>
            <w:proofErr w:type="spellStart"/>
            <w:r w:rsidRPr="00A371A1">
              <w:rPr>
                <w:rFonts w:asciiTheme="minorHAnsi" w:hAnsiTheme="minorHAnsi"/>
              </w:rPr>
              <w:t>Certified</w:t>
            </w:r>
            <w:proofErr w:type="spellEnd"/>
            <w:r w:rsidRPr="00A371A1">
              <w:rPr>
                <w:rFonts w:asciiTheme="minorHAnsi" w:hAnsiTheme="minorHAnsi"/>
              </w:rPr>
              <w:t xml:space="preserve"> for Windows” dla systemów Microsoft Windows Server 2008 R2 x64, x86, Microsoft Windows Server 2012 oraz Microsoft Hyper-V.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Zgodność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z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systemami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SUSE Linux Enterprise Server,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RedHat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Enterprise Linux, Citrix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XenServer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>, VMware vSphere.</w:t>
            </w:r>
          </w:p>
        </w:tc>
        <w:tc>
          <w:tcPr>
            <w:tcW w:w="648" w:type="pct"/>
            <w:tcBorders>
              <w:bottom w:val="single" w:sz="4" w:space="0" w:color="auto"/>
            </w:tcBorders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/>
              </w:rPr>
            </w:pPr>
          </w:p>
        </w:tc>
      </w:tr>
      <w:tr w:rsidR="00A371A1" w:rsidRPr="00247090" w:rsidTr="004F3B75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4F3B75" w:rsidRPr="00A371A1" w:rsidRDefault="004F3B75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lang w:val="en-US"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B3199E" w:rsidRPr="00A371A1" w:rsidRDefault="00B3199E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Serwer typ II</w:t>
            </w:r>
          </w:p>
        </w:tc>
        <w:tc>
          <w:tcPr>
            <w:tcW w:w="648" w:type="pct"/>
            <w:vMerge w:val="restart"/>
            <w:shd w:val="clear" w:color="auto" w:fill="D9D9D9"/>
            <w:vAlign w:val="center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"Wpisać oferowane parametry 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 przypadku procesorów, należy bezwzględnie wpisać nazwę producenta/model, a także liczbę punktów uzyskanych w teście oraz podać moc obliczeniową)"</w:t>
            </w:r>
          </w:p>
        </w:tc>
      </w:tr>
      <w:tr w:rsidR="00A371A1" w:rsidRPr="00A371A1" w:rsidTr="00F70856">
        <w:trPr>
          <w:trHeight w:val="417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B3199E" w:rsidRPr="00A371A1" w:rsidRDefault="00B3199E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648" w:type="pct"/>
            <w:vMerge/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B3199E" w:rsidRPr="00A371A1" w:rsidRDefault="00B3199E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 i 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648" w:type="pct"/>
            <w:vMerge/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Parametr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648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Procesor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B3199E">
            <w:pPr>
              <w:pStyle w:val="Akapitzlist1"/>
              <w:numPr>
                <w:ilvl w:val="0"/>
                <w:numId w:val="7"/>
              </w:numPr>
              <w:autoSpaceDN w:val="0"/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Procesory dedykowane do pracy z zaoferowanym serwerem umożliwiające osiągnięcie wyniku minimum 500 punktów w teście SPECint_rate_base2006 dostępnym na stronie internetowej www.spec.org dla konfiguracji dwuprocesorowej; do oferty należy załączyć wydruk z wynikiem testu dla oferowanego modelu serwera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7"/>
              </w:numPr>
              <w:autoSpaceDN w:val="0"/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MOC OBLICZENIOWA serwera co najmniej 460,0 </w:t>
            </w:r>
            <w:proofErr w:type="spellStart"/>
            <w:r w:rsidRPr="00A371A1">
              <w:rPr>
                <w:rFonts w:asciiTheme="minorHAnsi" w:hAnsiTheme="minorHAnsi"/>
              </w:rPr>
              <w:t>GFlops</w:t>
            </w:r>
            <w:proofErr w:type="spellEnd"/>
            <w:r w:rsidRPr="00A371A1">
              <w:rPr>
                <w:rFonts w:asciiTheme="minorHAnsi" w:hAnsiTheme="minorHAnsi"/>
              </w:rPr>
              <w:t>, gdzie MOC OBLICZENIOWA definiowana jest wzorem:</w:t>
            </w: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Rproc</w:t>
            </w:r>
            <w:proofErr w:type="spellEnd"/>
            <w:r w:rsidRPr="00A371A1">
              <w:rPr>
                <w:rFonts w:asciiTheme="minorHAnsi" w:hAnsiTheme="minorHAnsi"/>
              </w:rPr>
              <w:t xml:space="preserve"> = C * I * F,</w:t>
            </w: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gdzie:</w:t>
            </w: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B3199E" w:rsidRPr="00A371A1" w:rsidRDefault="00B3199E" w:rsidP="00B3199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Rproc</w:t>
            </w:r>
            <w:proofErr w:type="spellEnd"/>
            <w:r w:rsidRPr="00A371A1">
              <w:rPr>
                <w:rFonts w:asciiTheme="minorHAnsi" w:hAnsiTheme="minorHAnsi"/>
              </w:rPr>
              <w:t xml:space="preserve"> - moc obliczeniowa w </w:t>
            </w:r>
            <w:proofErr w:type="spellStart"/>
            <w:r w:rsidRPr="00A371A1">
              <w:rPr>
                <w:rFonts w:asciiTheme="minorHAnsi" w:hAnsiTheme="minorHAnsi"/>
              </w:rPr>
              <w:t>GFlops</w:t>
            </w:r>
            <w:proofErr w:type="spellEnd"/>
          </w:p>
          <w:p w:rsidR="00B3199E" w:rsidRPr="00A371A1" w:rsidRDefault="00B3199E" w:rsidP="00B3199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 -  liczba rdzeni procesora</w:t>
            </w:r>
          </w:p>
          <w:p w:rsidR="00B3199E" w:rsidRPr="00A371A1" w:rsidRDefault="00B3199E" w:rsidP="00B3199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I - liczba instrukcji zmiennoprzecinkowych  typu dodawanie i mnożenie w podwójnej precyzji wykonywanych przez pojedynczy rdzeń procesora w czasie jednego cyklu zegarowego (np. dla </w:t>
            </w:r>
            <w:r w:rsidRPr="00A371A1">
              <w:rPr>
                <w:rFonts w:asciiTheme="minorHAnsi" w:hAnsiTheme="minorHAnsi"/>
              </w:rPr>
              <w:lastRenderedPageBreak/>
              <w:t xml:space="preserve">procesora  Intel Xeon (seria 5600) wynosi 4, dla procesorów AMD </w:t>
            </w:r>
            <w:proofErr w:type="spellStart"/>
            <w:r w:rsidRPr="00A371A1">
              <w:rPr>
                <w:rFonts w:asciiTheme="minorHAnsi" w:hAnsiTheme="minorHAnsi"/>
              </w:rPr>
              <w:t>Opteron</w:t>
            </w:r>
            <w:proofErr w:type="spellEnd"/>
            <w:r w:rsidRPr="00A371A1">
              <w:rPr>
                <w:rFonts w:asciiTheme="minorHAnsi" w:hAnsiTheme="minorHAnsi"/>
              </w:rPr>
              <w:t xml:space="preserve"> wynosi 4),</w:t>
            </w:r>
          </w:p>
          <w:p w:rsidR="00B3199E" w:rsidRPr="00A371A1" w:rsidRDefault="00B3199E" w:rsidP="00B3199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F -</w:t>
            </w:r>
            <w:r w:rsidRPr="00A371A1">
              <w:rPr>
                <w:rFonts w:asciiTheme="minorHAnsi" w:hAnsiTheme="minorHAnsi"/>
              </w:rPr>
              <w:tab/>
              <w:t>częstotliwość zegara procesora w GHz.</w:t>
            </w: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Dla potrzeb niniejszej specyfikacji Zamawiający jako częstotliwość zegara przyjmuje nominalną częstotliwość zegara procesora podawaną przez producenta procesora przy  handlowym opisie procesora. Pomimo, że procesor może pracować z częstotliwością niższą lub wyższą niż wyżej wspomniana częstotliwość jako częstotliwość do obliczenia mocy obliczeniowej procesora w niniejszej specyfikacji należy przyjąć właśnie częstotliwość podawaną przy opisach handlowych przez producentów procesorów.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B3199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Nazwa producenta/model: …</w:t>
            </w:r>
          </w:p>
          <w:p w:rsidR="00B3199E" w:rsidRPr="00A371A1" w:rsidRDefault="00B3199E" w:rsidP="00B3199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Liczba pkt. w teście: …</w:t>
            </w:r>
          </w:p>
          <w:p w:rsidR="00B3199E" w:rsidRPr="00A371A1" w:rsidRDefault="00B3199E" w:rsidP="00B3199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</w:rPr>
              <w:t>Moc obliczeniowa: …</w:t>
            </w: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2.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Obudowa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Obudowa </w:t>
            </w:r>
            <w:proofErr w:type="spellStart"/>
            <w:r w:rsidRPr="00A371A1">
              <w:rPr>
                <w:rFonts w:asciiTheme="minorHAnsi" w:hAnsiTheme="minorHAnsi"/>
              </w:rPr>
              <w:t>Rack</w:t>
            </w:r>
            <w:proofErr w:type="spellEnd"/>
            <w:r w:rsidRPr="00A371A1">
              <w:rPr>
                <w:rFonts w:asciiTheme="minorHAnsi" w:hAnsiTheme="minorHAnsi"/>
              </w:rPr>
              <w:t xml:space="preserve"> o wysokości max 2U z możliwością instalacji do 8 dysków 3.5" </w:t>
            </w:r>
            <w:proofErr w:type="spellStart"/>
            <w:r w:rsidRPr="00A371A1">
              <w:rPr>
                <w:rFonts w:asciiTheme="minorHAnsi" w:hAnsiTheme="minorHAnsi"/>
              </w:rPr>
              <w:t>HotPlug</w:t>
            </w:r>
            <w:proofErr w:type="spellEnd"/>
            <w:r w:rsidRPr="00A371A1">
              <w:rPr>
                <w:rFonts w:asciiTheme="minorHAnsi" w:hAnsiTheme="minorHAnsi"/>
              </w:rPr>
              <w:t xml:space="preserve"> wraz z kompletem wysuwanych szyn umożliwiających montaż w szafie </w:t>
            </w:r>
            <w:proofErr w:type="spellStart"/>
            <w:r w:rsidRPr="00A371A1">
              <w:rPr>
                <w:rFonts w:asciiTheme="minorHAnsi" w:hAnsiTheme="minorHAnsi"/>
              </w:rPr>
              <w:t>rack</w:t>
            </w:r>
            <w:proofErr w:type="spellEnd"/>
            <w:r w:rsidRPr="00A371A1">
              <w:rPr>
                <w:rFonts w:asciiTheme="minorHAnsi" w:hAnsiTheme="minorHAnsi"/>
              </w:rPr>
              <w:t xml:space="preserve"> i wysuwanie serwera do celów serwisowych oraz organizatorem do kabli. Posiadająca dodatkowy przedni panel zamykany na klucz, chroniący dyski twarde przed nieuprawnionym wyjęciem z serwera.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Pamięć RAM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Zainstalowane minimum 64 GB pamięci DDR4 RDIMM o częstotliwości pracy 2133MHz 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Wszystkie moduły pamięci RAM wszystkich SERWERÓW muszą być identyczne między sobą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Co najmniej 12 szczelin przeznaczonych dla modułów pamięci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Co najmniej połowa szczelin  na pamięci RAM w każdym SERWERZE musi zostać nieobsadzona, gotowa do dalszej rozbudowy.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Każdy SERWER musi być gotowy do obsadzenia 384 GB lub więcej pamięci RAM poprzez wymianę modułów pamięci RAM  pomiędzy SERWERAMI.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Możliwe zabezpieczenia pamięci: Memory </w:t>
            </w:r>
            <w:proofErr w:type="spellStart"/>
            <w:r w:rsidRPr="00A371A1">
              <w:rPr>
                <w:rFonts w:asciiTheme="minorHAnsi" w:hAnsiTheme="minorHAnsi"/>
              </w:rPr>
              <w:t>Rank</w:t>
            </w:r>
            <w:proofErr w:type="spellEnd"/>
            <w:r w:rsidRPr="00A371A1">
              <w:rPr>
                <w:rFonts w:asciiTheme="minorHAnsi" w:hAnsiTheme="minorHAnsi"/>
              </w:rPr>
              <w:t xml:space="preserve"> Sparing, Memory Mirror, </w:t>
            </w:r>
            <w:proofErr w:type="spellStart"/>
            <w:r w:rsidRPr="00A371A1">
              <w:rPr>
                <w:rFonts w:asciiTheme="minorHAnsi" w:hAnsiTheme="minorHAnsi"/>
              </w:rPr>
              <w:t>Lockstep</w:t>
            </w:r>
            <w:proofErr w:type="spellEnd"/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4.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Płyta główna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Płyta główna z możliwością zainstalowania minimum dwóch procesorów  cztero-, sześcio-, ośmio-, dziesięcio- lub czternastordzeniowych. Płyta główna musi być zaprojektowana przez producenta serwera i oznaczona jego znakiem firmowym.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5.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Chipset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Dedykowany przez producenta procesora do pracy w serwerach dwuprocesorowych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6.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Sloty</w:t>
            </w:r>
            <w:proofErr w:type="spellEnd"/>
            <w:r w:rsidRPr="00A371A1">
              <w:rPr>
                <w:rFonts w:asciiTheme="minorHAnsi" w:hAnsiTheme="minorHAnsi"/>
              </w:rPr>
              <w:t xml:space="preserve"> PCI Express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Min. dwa </w:t>
            </w:r>
            <w:proofErr w:type="spellStart"/>
            <w:r w:rsidRPr="00A371A1">
              <w:rPr>
                <w:rFonts w:asciiTheme="minorHAnsi" w:hAnsiTheme="minorHAnsi"/>
              </w:rPr>
              <w:t>sloty</w:t>
            </w:r>
            <w:proofErr w:type="spellEnd"/>
            <w:r w:rsidRPr="00A371A1">
              <w:rPr>
                <w:rFonts w:asciiTheme="minorHAnsi" w:hAnsiTheme="minorHAnsi"/>
              </w:rPr>
              <w:t xml:space="preserve"> x16 generacji 3, min. 1 slot x8  generacji 3, Min. 1 x1 generacji 2, Min. 1 x8 generacji 2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7.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Karta graficzna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Zintegrowana karta graficzna  umożliwiająca rozdzielczość min. 1280x1024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8.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Wbudowane porty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min. 3 porty USB 2.0 oraz 2 porty USB 3.0 , 4 porty RJ45, 2 porty VGA (1 na przednim panelu obudowy, drugi na tylnym), min. 1 port RS232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9.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Interfejsy sieciowe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Wbudowana czteroportowa karta Gigabit Ethernet.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Kontroler dyskowy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Sprzętowy kontroler dyskowy, posiadający min. 1GB nieulotnej pamięci cache , możliwe konfiguracje poziomów RAID : 0, 1, 5, 6, 10, 50, 60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11.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Kontroler dodatkowy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Zainstalowana dwuportowa karta HBA posiadająca min. 2 złącza zewnętrzne SAS o </w:t>
            </w:r>
            <w:r w:rsidRPr="00A371A1">
              <w:rPr>
                <w:rFonts w:asciiTheme="minorHAnsi" w:hAnsiTheme="minorHAnsi"/>
              </w:rPr>
              <w:lastRenderedPageBreak/>
              <w:t>prędkości minimum 6Gb/s zapewniający poprawną współpracę z oferowaną MACIERZĄ DYSKOWĄ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12.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Wewnętrzna pamięć masowa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instalacji dysków twardych SATA, SAS, </w:t>
            </w:r>
            <w:proofErr w:type="spellStart"/>
            <w:r w:rsidRPr="00A371A1">
              <w:rPr>
                <w:rFonts w:asciiTheme="minorHAnsi" w:hAnsiTheme="minorHAnsi"/>
              </w:rPr>
              <w:t>NearLine</w:t>
            </w:r>
            <w:proofErr w:type="spellEnd"/>
            <w:r w:rsidRPr="00A371A1">
              <w:rPr>
                <w:rFonts w:asciiTheme="minorHAnsi" w:hAnsiTheme="minorHAnsi"/>
              </w:rPr>
              <w:t xml:space="preserve"> SAS, SSD oraz </w:t>
            </w:r>
            <w:proofErr w:type="spellStart"/>
            <w:r w:rsidRPr="00A371A1">
              <w:rPr>
                <w:rFonts w:asciiTheme="minorHAnsi" w:hAnsiTheme="minorHAnsi"/>
              </w:rPr>
              <w:t>samoszyfrujących</w:t>
            </w:r>
            <w:proofErr w:type="spellEnd"/>
            <w:r w:rsidRPr="00A371A1">
              <w:rPr>
                <w:rFonts w:asciiTheme="minorHAnsi" w:hAnsiTheme="minorHAnsi"/>
              </w:rPr>
              <w:t xml:space="preserve"> dostępnych w aktualnej ofercie producenta serwera.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Zainstalowane 2 dyski twarde o pojemności min. 600GB SAS 12Gbit 10K RPM skonfigurowane fabrycznie przez producenta serwera w zabezpieczenie RAID 1 oraz 6 dysków 6TB </w:t>
            </w:r>
            <w:proofErr w:type="spellStart"/>
            <w:r w:rsidRPr="00A371A1">
              <w:rPr>
                <w:rFonts w:asciiTheme="minorHAnsi" w:hAnsiTheme="minorHAnsi"/>
              </w:rPr>
              <w:t>NearLine</w:t>
            </w:r>
            <w:proofErr w:type="spellEnd"/>
            <w:r w:rsidRPr="00A371A1">
              <w:rPr>
                <w:rFonts w:asciiTheme="minorHAnsi" w:hAnsiTheme="minorHAnsi"/>
              </w:rPr>
              <w:t xml:space="preserve"> SAS 7.2K RPM skonfigurowane fabrycznie przez producenta serwera w zabezpieczanie RAID 6.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instalacji wewnętrznego modułu dedykowanego dla </w:t>
            </w:r>
            <w:proofErr w:type="spellStart"/>
            <w:r w:rsidRPr="00A371A1">
              <w:rPr>
                <w:rFonts w:asciiTheme="minorHAnsi" w:hAnsiTheme="minorHAnsi"/>
              </w:rPr>
              <w:t>hypervisora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wirtualizacyjnego</w:t>
            </w:r>
            <w:proofErr w:type="spellEnd"/>
            <w:r w:rsidRPr="00A371A1">
              <w:rPr>
                <w:rFonts w:asciiTheme="minorHAnsi" w:hAnsiTheme="minorHAnsi"/>
              </w:rPr>
              <w:t xml:space="preserve">, wyposażonego w 2 jednakowe nośniki typu </w:t>
            </w:r>
            <w:proofErr w:type="spellStart"/>
            <w:r w:rsidRPr="00A371A1">
              <w:rPr>
                <w:rFonts w:asciiTheme="minorHAnsi" w:hAnsiTheme="minorHAnsi"/>
              </w:rPr>
              <w:t>flash</w:t>
            </w:r>
            <w:proofErr w:type="spellEnd"/>
            <w:r w:rsidRPr="00A371A1">
              <w:rPr>
                <w:rFonts w:asciiTheme="minorHAnsi" w:hAnsiTheme="minorHAnsi"/>
              </w:rPr>
              <w:t xml:space="preserve"> z możliwością konfiguracji zabezpieczenia synchronizacji pomiędzy nośnikami z poziomu BIOS serwera, lub zainstalowane 2 dyski typu Flash skonfigurowane w zabezpieczenie RAID 1 - rozwiązanie nie może powodować zmniejszenia ilości wnęk na dyski twarde.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13.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Panel diagnostyczny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Panel LCD umieszczony na froncie obudowy, umożliwiający wyświetlenie informacji o stanie procesora, pamięci, dysków, </w:t>
            </w:r>
            <w:proofErr w:type="spellStart"/>
            <w:r w:rsidRPr="00A371A1">
              <w:rPr>
                <w:rFonts w:asciiTheme="minorHAnsi" w:hAnsiTheme="minorHAnsi"/>
              </w:rPr>
              <w:t>BIOS’u</w:t>
            </w:r>
            <w:proofErr w:type="spellEnd"/>
            <w:r w:rsidRPr="00A371A1">
              <w:rPr>
                <w:rFonts w:asciiTheme="minorHAnsi" w:hAnsiTheme="minorHAnsi"/>
              </w:rPr>
              <w:t>, zasilaniu oraz temperaturze.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14.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Zasilanie i chłodzenie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Minimum pięć wewnętrznych redundantnych wentylatorów typu Hot Plug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Dwa redundantne zasilacze Hot Plug o mocy minimum 750 Wat każdy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15.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Bezpieczeństwo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Zintegrowany z płytą główną moduł TPM. Wbudowany czujnik otwarcia obudowy współpracujący z BIOS i kartą zarządzającą lub oprogramowanie umożliwiające monitorowanie zmian konfiguracji sprzętowej serwera – min. procesorów, dysków twardych, pamięci RAM.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16.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Zarządzanie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Niezależna od zainstalowanego na serwerze systemu operacyjnego posiadająca dedykowane port RJ-45 Gigabit Ethernet umożliwiająca: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zdalny dostęp do graficznego interfejsu Web karty zarządzającej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zdalne monitorowanie i informowanie o statusie serwera (m.in. prędkości obrotowej wentylatorów, konfiguracji serwera, )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szyfrowane połączenie (SSLv3) oraz autentykacje i autoryzację użytkownika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podmontowania zdalnych wirtualnych napędów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wirtualną konsolę z dostępem do myszy, klawiatury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wsparcie dla IPv6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lang w:val="en-US"/>
              </w:rPr>
            </w:pPr>
            <w:proofErr w:type="spellStart"/>
            <w:r w:rsidRPr="00A371A1">
              <w:rPr>
                <w:rFonts w:asciiTheme="minorHAnsi" w:hAnsiTheme="minorHAnsi"/>
                <w:lang w:val="en-US"/>
              </w:rPr>
              <w:t>wsparcie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dla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WSMAN (Web Service for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Managament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>); SNMP; IPMI2.0, VLAN tagging, Telnet, SSH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zdalnego monitorowania w czasie rzeczywistym poboru prądu przez serwer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zdalnego ustawienia limitu poboru prądu przez konkretny serwer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integracja z Active Directory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obsługi przez dwóch administratorów jednocześnie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 xml:space="preserve">wsparcie dla </w:t>
            </w:r>
            <w:proofErr w:type="spellStart"/>
            <w:r w:rsidRPr="00A371A1">
              <w:rPr>
                <w:rFonts w:asciiTheme="minorHAnsi" w:hAnsiTheme="minorHAnsi"/>
              </w:rPr>
              <w:t>dynamic</w:t>
            </w:r>
            <w:proofErr w:type="spellEnd"/>
            <w:r w:rsidRPr="00A371A1">
              <w:rPr>
                <w:rFonts w:asciiTheme="minorHAnsi" w:hAnsiTheme="minorHAnsi"/>
              </w:rPr>
              <w:t xml:space="preserve"> DNS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wysyłanie do administratora maila z powiadomieniem o awarii lub zmianie konfiguracji sprzętowej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podłączenia lokalnego poprzez złącze RS-232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17.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Gwarancja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7A38C4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Minimum 36 m-</w:t>
            </w:r>
            <w:proofErr w:type="spellStart"/>
            <w:r w:rsidRPr="00A371A1">
              <w:rPr>
                <w:rFonts w:asciiTheme="minorHAnsi" w:hAnsiTheme="minorHAnsi"/>
              </w:rPr>
              <w:t>cy</w:t>
            </w:r>
            <w:proofErr w:type="spellEnd"/>
            <w:r w:rsidR="00B3199E" w:rsidRPr="00A371A1">
              <w:rPr>
                <w:rFonts w:asciiTheme="minorHAnsi" w:hAnsiTheme="minorHAnsi"/>
              </w:rPr>
              <w:t xml:space="preserve"> gwarancji realizowanej w miejscu instalacji sprzętu, z czasem reakcji do następnego dnia roboczego od przyjęcia zgłoszenia, możliwość zgłaszania awarii w trybie 24x7x365 poprzez ogólnopolską linię telefoniczną producenta. Możliwość rozszerzenia gwarancji producenta do siedmiu lat.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 przypadku awarii dyski pozostają własnością Zamawiającego</w:t>
            </w:r>
            <w:r w:rsidR="00A371A1" w:rsidRPr="00A371A1">
              <w:rPr>
                <w:rFonts w:asciiTheme="minorHAnsi" w:hAnsiTheme="minorHAnsi"/>
              </w:rPr>
              <w:t>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 przypadku awarii diagnostyka przeprowadzona w miejscu instalacji przez pracownika autoryzowanego serwisu producenta.  </w:t>
            </w:r>
          </w:p>
          <w:p w:rsidR="00972643" w:rsidRPr="00A371A1" w:rsidRDefault="00C110CE" w:rsidP="009726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Firma serwisująca musi posiadać ISO 9001:2000 na świadczenie usług serwisowych oraz posiadać autoryzacje producenta serwera – </w:t>
            </w:r>
            <w:r w:rsidR="00972643" w:rsidRPr="00A371A1">
              <w:rPr>
                <w:rFonts w:asciiTheme="minorHAnsi" w:hAnsiTheme="minorHAnsi"/>
              </w:rPr>
              <w:t>dokumenty potwierdzające Wykonawca przedstawi najpóźniej do dnia podpisania umowy.</w:t>
            </w:r>
          </w:p>
          <w:p w:rsidR="00972643" w:rsidRPr="00A371A1" w:rsidRDefault="00C110CE" w:rsidP="009726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Oświadczenie producenta serwera, że w przypadku nie wywiązywania się z obowiązków gwarancyjnych oferenta lub firmy serwisującej, przejmie na siebie wszelkie zobowiązania związane z serwisem –  </w:t>
            </w:r>
            <w:r w:rsidR="00972643" w:rsidRPr="00A371A1">
              <w:rPr>
                <w:rFonts w:asciiTheme="minorHAnsi" w:hAnsiTheme="minorHAnsi"/>
              </w:rPr>
              <w:t>dokument potwierdzający Wykonawca przedstawi najpóźniej do dnia podpisania umowy.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telefonicznego i elektronicznego sprawdzenia konfiguracji sprzętowej serwera oraz warunków gwarancji po podaniu numeru </w:t>
            </w:r>
            <w:r w:rsidRPr="00A371A1">
              <w:rPr>
                <w:rFonts w:asciiTheme="minorHAnsi" w:hAnsiTheme="minorHAnsi"/>
              </w:rPr>
              <w:lastRenderedPageBreak/>
              <w:t>seryjnego bezpośrednio u producenta oraz poprzez stronę internetową producenta lub jego przedstawiciela.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Dokumentacja dostarczona wraz z serwerem dostępna w języku polskim lub angielskim.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B1681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Parametr gwarancji stanowi kryterium oceny oferty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36 m-ce – 1 pkt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48 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Pr="00A371A1">
              <w:rPr>
                <w:rFonts w:asciiTheme="minorHAnsi" w:hAnsiTheme="minorHAnsi"/>
                <w:i/>
              </w:rPr>
              <w:t xml:space="preserve"> – 5 pkt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60 i więcej 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Pr="00A371A1">
              <w:rPr>
                <w:rFonts w:asciiTheme="minorHAnsi" w:hAnsiTheme="minorHAnsi"/>
                <w:i/>
              </w:rPr>
              <w:t xml:space="preserve"> – 20 pkt</w:t>
            </w:r>
          </w:p>
          <w:p w:rsidR="00B3199E" w:rsidRPr="00A371A1" w:rsidRDefault="00592B43" w:rsidP="00E551A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i/>
              </w:rPr>
              <w:t xml:space="preserve"> Proszę podać okres gwarancji …………………m-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="00E551A3">
              <w:rPr>
                <w:rFonts w:asciiTheme="minorHAnsi" w:hAnsiTheme="minorHAnsi"/>
                <w:i/>
              </w:rPr>
              <w:t>; wpis powtórzyć w Formularzu ofertowym</w:t>
            </w: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18.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Certyfikaty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C8440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Certyfikat </w:t>
            </w:r>
            <w:r w:rsidR="00B3199E" w:rsidRPr="00A371A1">
              <w:rPr>
                <w:rFonts w:asciiTheme="minorHAnsi" w:hAnsiTheme="minorHAnsi"/>
              </w:rPr>
              <w:t xml:space="preserve">ISO-9001 </w:t>
            </w:r>
            <w:r w:rsidR="00D306E8" w:rsidRPr="00A371A1">
              <w:rPr>
                <w:rFonts w:asciiTheme="minorHAnsi" w:hAnsiTheme="minorHAnsi"/>
              </w:rPr>
              <w:t>oraz ISO-14001</w:t>
            </w:r>
            <w:r w:rsidR="000021F0" w:rsidRPr="00A371A1">
              <w:rPr>
                <w:rFonts w:asciiTheme="minorHAnsi" w:hAnsiTheme="minorHAnsi"/>
              </w:rPr>
              <w:t xml:space="preserve"> </w:t>
            </w:r>
            <w:r w:rsidRPr="00A371A1">
              <w:rPr>
                <w:rFonts w:asciiTheme="minorHAnsi" w:hAnsiTheme="minorHAnsi"/>
              </w:rPr>
              <w:t xml:space="preserve">dla producenta sprzętu (załączyć dokument potwierdzający spełnianie wymogu) </w:t>
            </w:r>
          </w:p>
          <w:p w:rsidR="00B3199E" w:rsidRPr="00A371A1" w:rsidRDefault="00B1681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</w:t>
            </w:r>
            <w:r w:rsidR="00B3199E" w:rsidRPr="00A371A1">
              <w:rPr>
                <w:rFonts w:asciiTheme="minorHAnsi" w:hAnsiTheme="minorHAnsi"/>
              </w:rPr>
              <w:t xml:space="preserve">eklaracja </w:t>
            </w:r>
            <w:r w:rsidR="00C84408" w:rsidRPr="00A371A1">
              <w:rPr>
                <w:rFonts w:asciiTheme="minorHAnsi" w:hAnsiTheme="minorHAnsi"/>
              </w:rPr>
              <w:t xml:space="preserve">zgodności </w:t>
            </w:r>
            <w:r w:rsidR="00B3199E" w:rsidRPr="00A371A1">
              <w:rPr>
                <w:rFonts w:asciiTheme="minorHAnsi" w:hAnsiTheme="minorHAnsi"/>
              </w:rPr>
              <w:t>CE</w:t>
            </w:r>
            <w:r w:rsidR="00C84408" w:rsidRPr="00A371A1">
              <w:rPr>
                <w:rFonts w:asciiTheme="minorHAnsi" w:hAnsiTheme="minorHAnsi"/>
              </w:rPr>
              <w:t xml:space="preserve"> (załączyć do ofert)</w:t>
            </w:r>
            <w:r w:rsidR="00B3199E" w:rsidRPr="00A371A1">
              <w:rPr>
                <w:rFonts w:asciiTheme="minorHAnsi" w:hAnsiTheme="minorHAnsi"/>
              </w:rPr>
              <w:t>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Oferowany serwer musi znajdować się na liście Windows Server </w:t>
            </w:r>
            <w:proofErr w:type="spellStart"/>
            <w:r w:rsidRPr="00A371A1">
              <w:rPr>
                <w:rFonts w:asciiTheme="minorHAnsi" w:hAnsiTheme="minorHAnsi"/>
              </w:rPr>
              <w:t>Catalog</w:t>
            </w:r>
            <w:proofErr w:type="spellEnd"/>
            <w:r w:rsidRPr="00A371A1">
              <w:rPr>
                <w:rFonts w:asciiTheme="minorHAnsi" w:hAnsiTheme="minorHAnsi"/>
              </w:rPr>
              <w:t xml:space="preserve"> i posiadać status „</w:t>
            </w:r>
            <w:proofErr w:type="spellStart"/>
            <w:r w:rsidRPr="00A371A1">
              <w:rPr>
                <w:rFonts w:asciiTheme="minorHAnsi" w:hAnsiTheme="minorHAnsi"/>
              </w:rPr>
              <w:t>Certified</w:t>
            </w:r>
            <w:proofErr w:type="spellEnd"/>
            <w:r w:rsidRPr="00A371A1">
              <w:rPr>
                <w:rFonts w:asciiTheme="minorHAnsi" w:hAnsiTheme="minorHAnsi"/>
              </w:rPr>
              <w:t xml:space="preserve"> for Windows” dla systemów Microsoft Windows Server 2008 R2 x64, x86, Microsoft Windows Server 2012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C165B0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19.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Dokumentacja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Zamawiający wymaga dokumentacji w języku polskim lub angielskim.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telefonicznego sprawdzenia konfiguracji sprzętowej serwera oraz warunków gwarancji po podaniu numeru seryjnego bezpośrednio u producenta lub jego przedstawiciela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C165B0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4F3B75" w:rsidRPr="00A371A1" w:rsidRDefault="004F3B75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  <w:p w:rsidR="00C40BD1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FB4487" w:rsidRPr="00A371A1" w:rsidRDefault="00FB4487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Macierz dyskowa</w:t>
            </w:r>
          </w:p>
        </w:tc>
        <w:tc>
          <w:tcPr>
            <w:tcW w:w="648" w:type="pct"/>
            <w:vMerge w:val="restart"/>
            <w:shd w:val="clear" w:color="auto" w:fill="D9D9D9"/>
            <w:vAlign w:val="center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"Wpisać oferowane parametry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 przypadku procesorów, należy bezwzględnie wpisać nazwę producenta/model, a także liczbę punktów uzyskanych w teście oraz podać moc obliczeniową)"</w:t>
            </w:r>
          </w:p>
        </w:tc>
      </w:tr>
      <w:tr w:rsidR="00A371A1" w:rsidRPr="00A371A1" w:rsidTr="00F70856">
        <w:trPr>
          <w:trHeight w:val="417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FB4487" w:rsidRPr="00A371A1" w:rsidRDefault="00FB4487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648" w:type="pct"/>
            <w:vMerge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FB4487" w:rsidRPr="00A371A1" w:rsidRDefault="00FB4487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 i 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648" w:type="pct"/>
            <w:vMerge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959" w:type="pct"/>
            <w:shd w:val="clear" w:color="auto" w:fill="D9D9D9"/>
            <w:vAlign w:val="center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Parametr</w:t>
            </w:r>
          </w:p>
        </w:tc>
        <w:tc>
          <w:tcPr>
            <w:tcW w:w="1665" w:type="pct"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648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Obudowa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Do instalacji w standardowej szafie RACK 19”. Wysokość maksymalnie 2U wraz z kompletem szyn do montażu w szafie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Rack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>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Możliwość instalacji do 24 dysków 2.5” Hot Plug.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Posiadająca dodatkowy przedni panel zamykany na klucz chroniący dyski twarde przed nieuprawnionym wyjęciem z macierzy.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2.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Kontrolery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Dwa  kontrolery posiadające łącznie minimum osiem  portów 12Gb/s SAS do podłączenia serwerów pracujące w trybie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active-active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. Wymagane poziomy RAID 0,1,5,6,10, DDP.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W komplecie 4 kable SAS o długości min. 2m każdy umożliwiające podłączenie macierzy do oferowanych serwerów.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Cache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Min. 4GB na kontroler, pamięć cache zapisu mirrorowana między kontrolerami, z opcją zapisu na dysk lub inną pamięć nieulotną lub podtrzymywana bateryjnie przez min. 72h w razie awarii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Dyski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Zainstalowane  dyski :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12 dysków o pojemności min. 1200GB SAS 10k RPM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RPM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Hot-Plug 2.5” każdy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Możliwość rozbudowy przez dokładanie kolejnych dysków/półek dyskowych,  możliwość obsługi łącznie minimum 190 dysków, wydajnych dysków SAS,SSD, ekonomicznych dysków typu SATA (lub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NearLine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SAS),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samoszyfrujących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dysków SED dostępnych w ofercie producenta macierzy, możliwość mieszania typów dysków w obrębie macierzy oraz półki.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5.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Oprogramowanie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Zarządzające macierzą w tym powiadamianie mailem o awarii, umożliwiające maskowanie i mapowanie dysków.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Możliwość instalacji licencji pozwalającej na utworzenie minimum 512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LUN’ów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oraz 32 kopii migawkowych na LUN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 xml:space="preserve">Licencja macierzy powinna umożliwiać podłączanie minimum 8 hostów bez konieczności zakupu dodatkowych licencji.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Producent macierzy musi udostępniać wszystkie licencje w trybie testowym by umożliwić użytkownikowi sprawdzenia poszczególnych płatnych funkcjonalności w/w macierzy.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Zaoferowane oprogramowanie musi umożliwiać zarządzanie macierzą oraz zaoferowanymi serwerami z jednej konsoli zarządzającej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247090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6.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Wsparcie dla systemów operacyjnych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 w:eastAsia="en-US"/>
              </w:rPr>
            </w:pPr>
            <w:r w:rsidRPr="00A371A1">
              <w:rPr>
                <w:rFonts w:asciiTheme="minorHAnsi" w:hAnsiTheme="minorHAnsi"/>
                <w:lang w:val="en-US" w:eastAsia="en-US"/>
              </w:rPr>
              <w:t xml:space="preserve">Microsoft® Windows®, VMware®, Microsoft Hyper-V®, Citrix® </w:t>
            </w:r>
            <w:proofErr w:type="spellStart"/>
            <w:r w:rsidRPr="00A371A1">
              <w:rPr>
                <w:rFonts w:asciiTheme="minorHAnsi" w:hAnsiTheme="minorHAnsi"/>
                <w:lang w:val="en-US" w:eastAsia="en-US"/>
              </w:rPr>
              <w:t>XenServer</w:t>
            </w:r>
            <w:proofErr w:type="spellEnd"/>
            <w:r w:rsidRPr="00A371A1">
              <w:rPr>
                <w:rFonts w:asciiTheme="minorHAnsi" w:hAnsiTheme="minorHAnsi"/>
                <w:lang w:val="en-US" w:eastAsia="en-US"/>
              </w:rPr>
              <w:t>®, Red Hat® and SUSE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lang w:val="en-US"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  <w:lang w:val="en-US"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 w:eastAsia="en-US"/>
              </w:rPr>
            </w:pPr>
            <w:r w:rsidRPr="00A371A1">
              <w:rPr>
                <w:rFonts w:asciiTheme="minorHAnsi" w:hAnsiTheme="minorHAnsi"/>
                <w:lang w:val="en-US" w:eastAsia="en-US"/>
              </w:rPr>
              <w:t>7.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Bezpieczeństwo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Ciągła praca obu kontrolerów nawet w przypadku zaniku jednej z faz zasilania. Zasilacze, wentylatory, kontrolery RAID redundantne.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Możliwość przydzielenia większej przestrzeni dyskowej dla serwerów niż fizycznie dostępna (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Thin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Provisioning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>).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8.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Gwarancja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A82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Minimum 36 m-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cy</w:t>
            </w:r>
            <w:proofErr w:type="spellEnd"/>
            <w:r w:rsidR="00FB4487" w:rsidRPr="00A371A1">
              <w:rPr>
                <w:rFonts w:asciiTheme="minorHAnsi" w:hAnsiTheme="minorHAnsi"/>
                <w:lang w:eastAsia="en-US"/>
              </w:rPr>
              <w:t xml:space="preserve"> gwarancji od momentu podpisania umowy z czasem reakcji do następnego dnia roboczego od  zgłoszenia awarii.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W przypadku awarii dyski twarde pozostają własnością Zamawiającego.</w:t>
            </w:r>
          </w:p>
          <w:p w:rsidR="00592B43" w:rsidRPr="00A371A1" w:rsidRDefault="00C110CE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Firma serwisująca musi posiadać ISO 9001:2000 na świadczenie usług serwisowych oraz posiadać autoryzacje producenta  – </w:t>
            </w:r>
            <w:r w:rsidR="00592B43" w:rsidRPr="00A371A1">
              <w:rPr>
                <w:rFonts w:asciiTheme="minorHAnsi" w:hAnsiTheme="minorHAnsi"/>
              </w:rPr>
              <w:t>dokumenty potwierdzające Wykonawca przedstawi najpóźniej do dnia podpisania umowy.</w:t>
            </w:r>
          </w:p>
          <w:p w:rsidR="00592B43" w:rsidRPr="00A371A1" w:rsidRDefault="00C110CE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Oświadczenie producenta, że w przypadku nie wywiązywania się z obowiązków gwarancyjnych oferenta lub firmy serwisującej, przejmie na siebie wszelkie zobowiązania związane z serwisem –  </w:t>
            </w:r>
            <w:r w:rsidR="00592B43" w:rsidRPr="00A371A1">
              <w:rPr>
                <w:rFonts w:asciiTheme="minorHAnsi" w:hAnsiTheme="minorHAnsi"/>
              </w:rPr>
              <w:t xml:space="preserve">dokument potwierdzający Wykonawca przedstawi </w:t>
            </w:r>
            <w:r w:rsidR="00592B43" w:rsidRPr="00A371A1">
              <w:rPr>
                <w:rFonts w:asciiTheme="minorHAnsi" w:hAnsiTheme="minorHAnsi"/>
              </w:rPr>
              <w:lastRenderedPageBreak/>
              <w:t>najpóźniej do dnia podpisania umowy.</w:t>
            </w:r>
          </w:p>
          <w:p w:rsidR="00FB4487" w:rsidRPr="00A371A1" w:rsidRDefault="00FB4487" w:rsidP="0072409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9.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Dokumentacja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Zamawiający wymaga dokumentacji w języku polskim lub angielskim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1E1391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10.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Certyfikaty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Certyfikat ISO-9001 dla producenta sprzętu (załączyć dokument potwierdzający spełnianie wymogu) 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Deklaracja zgodności CE (załączyć do ofert).</w:t>
            </w:r>
          </w:p>
          <w:p w:rsidR="00592B43" w:rsidRPr="00A371A1" w:rsidRDefault="00FB4487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  <w:lang w:eastAsia="en-US"/>
              </w:rPr>
              <w:t>Oświadczenie producenta oferowanego serwera o poprawnej ws</w:t>
            </w:r>
            <w:r w:rsidR="000021F0" w:rsidRPr="00A371A1">
              <w:rPr>
                <w:rFonts w:asciiTheme="minorHAnsi" w:hAnsiTheme="minorHAnsi"/>
                <w:lang w:eastAsia="en-US"/>
              </w:rPr>
              <w:t xml:space="preserve">półpracy z zaoferowaną macierzą – </w:t>
            </w:r>
            <w:r w:rsidR="00592B43" w:rsidRPr="00A371A1">
              <w:rPr>
                <w:rFonts w:asciiTheme="minorHAnsi" w:hAnsiTheme="minorHAnsi"/>
              </w:rPr>
              <w:t>dokument potwierdzający Wykonawca przedstawi najpóźniej do dnia podpisania umowy.</w:t>
            </w:r>
          </w:p>
          <w:p w:rsidR="00FB4487" w:rsidRPr="00A371A1" w:rsidRDefault="000021F0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1E1391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E1391" w:rsidRPr="00A371A1" w:rsidRDefault="001E1391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Oprogramowanie </w:t>
            </w:r>
            <w:proofErr w:type="spellStart"/>
            <w:r w:rsidRPr="00A371A1">
              <w:rPr>
                <w:rFonts w:asciiTheme="minorHAnsi" w:hAnsiTheme="minorHAnsi"/>
                <w:b/>
              </w:rPr>
              <w:t>wirtualizacyjne</w:t>
            </w:r>
            <w:proofErr w:type="spellEnd"/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5752D8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1523" w:type="pct"/>
            <w:vMerge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55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5752D8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Nazwa producenta</w:t>
            </w:r>
            <w:r w:rsidR="00F70856" w:rsidRPr="00A371A1">
              <w:rPr>
                <w:rFonts w:asciiTheme="minorHAnsi" w:hAnsiTheme="minorHAnsi"/>
                <w:b/>
              </w:rPr>
              <w:t>/wersja</w:t>
            </w:r>
            <w:r w:rsidRPr="00A371A1">
              <w:rPr>
                <w:rFonts w:asciiTheme="minorHAnsi" w:hAnsiTheme="minorHAnsi"/>
                <w:b/>
              </w:rPr>
              <w:t xml:space="preserve">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vMerge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3272" w:type="pct"/>
            <w:gridSpan w:val="3"/>
            <w:shd w:val="clear" w:color="auto" w:fill="D9D9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Licencje muszą umożliwiać uruchamianie wirtualizacji na serwerach fizycznych o łącznej liczbie 6 fizycznych procesorów oraz jednej konsoli do zarządzania całym środowiskiem.</w:t>
            </w:r>
          </w:p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Wszystkie licencje powinny być dostarczone wraz z 1 rocznym wsparciem, świadczonym przez producenta będącego licencjodawcą oprogramowania na pierwszym, drugim i trzecim poziomie, które powinno umożliwiać zgłaszanie problemów przez 12h na dobę / 5 dni w tygodniu.</w:t>
            </w:r>
          </w:p>
        </w:tc>
        <w:tc>
          <w:tcPr>
            <w:tcW w:w="1523" w:type="pct"/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Warstwa wirtualizacji musi być rozwiązaniem systemowym tzn. musi być zainstalowana bezpośrednio na sprzęcie fizycznym i nie może być częścią innego systemu operacyjnego.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Warstwa wirtualizacji nie może dla własnych celów alokować więcej niż 200MB pamięci operacyjnej RAM serwera fizycznego.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zapewnić możliwość obsługi wielu instancji systemów operacyjnych na jednym serwerze fizycznym. Wymagana jest możliwość przydzielenia maszynie większej ilości wirtualnej pamięci operacyjnej niż jest zainstalowana w serwerze fizycznym oraz większej ilości przestrzeni </w:t>
            </w:r>
            <w:r w:rsidRPr="00A371A1">
              <w:rPr>
                <w:rFonts w:asciiTheme="minorHAnsi" w:hAnsiTheme="minorHAnsi"/>
              </w:rPr>
              <w:lastRenderedPageBreak/>
              <w:t>dyskowej niż jest fizycznie dostępna.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5.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do wirtualizacji musi zapewnić możliwość skonfigurowania maszyn wirtualnych z możliwością dostępu do 1TB pamięci operacyjnej.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Oprogramowanie do wirtualizacji musi zapewnić możliwość przydzielenia maszynom wirtualnym do 64 procesorów wirtualnych.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7.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umożliwiać łatwą i szybką rozbudowę infrastruktury o nowe usługi bez spadku wydajności i dostępności pozostałych wybranych usług.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8.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w możliwie największym stopniu być niezależne od producenta platformy sprzętowej.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9.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wspierać następujące systemy operacyjne: Windows XP, Windows Vista , Windows NT, Windows 2000, Windows Server 2003, Windows Server 2008, Windows Server 2008 R2, Windows Server 2012, SLES 11, SLES 10, SLES9, SLES8, </w:t>
            </w:r>
            <w:proofErr w:type="spellStart"/>
            <w:r w:rsidRPr="00A371A1">
              <w:rPr>
                <w:rFonts w:asciiTheme="minorHAnsi" w:hAnsiTheme="minorHAnsi"/>
              </w:rPr>
              <w:t>Ubuntu</w:t>
            </w:r>
            <w:proofErr w:type="spellEnd"/>
            <w:r w:rsidRPr="00A371A1">
              <w:rPr>
                <w:rFonts w:asciiTheme="minorHAnsi" w:hAnsiTheme="minorHAnsi"/>
              </w:rPr>
              <w:t xml:space="preserve"> 7.04, RHEL 5, RHEL 4, RHEL3, RHEL 2.1,  Solaris wersja 10 dla platformy x86, NetWare 6.5, NetWare 6.0, NetWare 6.1, </w:t>
            </w:r>
            <w:proofErr w:type="spellStart"/>
            <w:r w:rsidRPr="00A371A1">
              <w:rPr>
                <w:rFonts w:asciiTheme="minorHAnsi" w:hAnsiTheme="minorHAnsi"/>
              </w:rPr>
              <w:t>Debian</w:t>
            </w:r>
            <w:proofErr w:type="spellEnd"/>
            <w:r w:rsidRPr="00A371A1">
              <w:rPr>
                <w:rFonts w:asciiTheme="minorHAnsi" w:hAnsiTheme="minorHAnsi"/>
              </w:rPr>
              <w:t xml:space="preserve">, </w:t>
            </w:r>
            <w:proofErr w:type="spellStart"/>
            <w:r w:rsidRPr="00A371A1">
              <w:rPr>
                <w:rFonts w:asciiTheme="minorHAnsi" w:hAnsiTheme="minorHAnsi"/>
              </w:rPr>
              <w:t>CentOS</w:t>
            </w:r>
            <w:proofErr w:type="spellEnd"/>
            <w:r w:rsidRPr="00A371A1">
              <w:rPr>
                <w:rFonts w:asciiTheme="minorHAnsi" w:hAnsiTheme="minorHAnsi"/>
              </w:rPr>
              <w:t xml:space="preserve">, </w:t>
            </w:r>
            <w:proofErr w:type="spellStart"/>
            <w:r w:rsidRPr="00A371A1">
              <w:rPr>
                <w:rFonts w:asciiTheme="minorHAnsi" w:hAnsiTheme="minorHAnsi"/>
              </w:rPr>
              <w:t>FreeBSD</w:t>
            </w:r>
            <w:proofErr w:type="spellEnd"/>
            <w:r w:rsidRPr="00A371A1">
              <w:rPr>
                <w:rFonts w:asciiTheme="minorHAnsi" w:hAnsiTheme="minorHAnsi"/>
              </w:rPr>
              <w:t xml:space="preserve">, </w:t>
            </w:r>
            <w:proofErr w:type="spellStart"/>
            <w:r w:rsidRPr="00A371A1">
              <w:rPr>
                <w:rFonts w:asciiTheme="minorHAnsi" w:hAnsiTheme="minorHAnsi"/>
              </w:rPr>
              <w:t>Asianux</w:t>
            </w:r>
            <w:proofErr w:type="spellEnd"/>
            <w:r w:rsidRPr="00A371A1">
              <w:rPr>
                <w:rFonts w:asciiTheme="minorHAnsi" w:hAnsiTheme="minorHAnsi"/>
              </w:rPr>
              <w:t xml:space="preserve">, </w:t>
            </w:r>
            <w:proofErr w:type="spellStart"/>
            <w:r w:rsidRPr="00A371A1">
              <w:rPr>
                <w:rFonts w:asciiTheme="minorHAnsi" w:hAnsiTheme="minorHAnsi"/>
              </w:rPr>
              <w:t>Ubuntu</w:t>
            </w:r>
            <w:proofErr w:type="spellEnd"/>
            <w:r w:rsidRPr="00A371A1">
              <w:rPr>
                <w:rFonts w:asciiTheme="minorHAnsi" w:hAnsiTheme="minorHAnsi"/>
              </w:rPr>
              <w:t xml:space="preserve"> 7.04, SCO </w:t>
            </w:r>
            <w:proofErr w:type="spellStart"/>
            <w:r w:rsidRPr="00A371A1">
              <w:rPr>
                <w:rFonts w:asciiTheme="minorHAnsi" w:hAnsiTheme="minorHAnsi"/>
              </w:rPr>
              <w:t>OpenServer</w:t>
            </w:r>
            <w:proofErr w:type="spellEnd"/>
            <w:r w:rsidRPr="00A371A1">
              <w:rPr>
                <w:rFonts w:asciiTheme="minorHAnsi" w:hAnsiTheme="minorHAnsi"/>
              </w:rPr>
              <w:t xml:space="preserve">, SCO </w:t>
            </w:r>
            <w:proofErr w:type="spellStart"/>
            <w:r w:rsidRPr="00A371A1">
              <w:rPr>
                <w:rFonts w:asciiTheme="minorHAnsi" w:hAnsiTheme="minorHAnsi"/>
              </w:rPr>
              <w:t>Unixware</w:t>
            </w:r>
            <w:proofErr w:type="spellEnd"/>
            <w:r w:rsidRPr="00A371A1">
              <w:rPr>
                <w:rFonts w:asciiTheme="minorHAnsi" w:hAnsiTheme="minorHAnsi"/>
              </w:rPr>
              <w:t>, Mac OS X.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10.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zapewniać sprzętowe wsparcie dla wirtualizacji zagnieżdżonej, w szczególności w zakresie możliwości zastosowania trybu XP </w:t>
            </w:r>
            <w:proofErr w:type="spellStart"/>
            <w:r w:rsidRPr="00A371A1">
              <w:rPr>
                <w:rFonts w:asciiTheme="minorHAnsi" w:hAnsiTheme="minorHAnsi"/>
              </w:rPr>
              <w:t>mode</w:t>
            </w:r>
            <w:proofErr w:type="spellEnd"/>
            <w:r w:rsidRPr="00A371A1">
              <w:rPr>
                <w:rFonts w:asciiTheme="minorHAnsi" w:hAnsiTheme="minorHAnsi"/>
              </w:rPr>
              <w:t xml:space="preserve"> w Windows 7 a także instalacji wszystkich funkcjonalności w tym Hyper-V pakietu Windows Server 2012 na maszynie wirtualnej.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11.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posiadać centralną konsolę graficzną do zarządzania środowiskiem serwerów wirtualnych. Konsola graficzna musi być dostępna poprzez dedykowanego klienta i za pomocą przeglądarek, minimum IE i </w:t>
            </w:r>
            <w:proofErr w:type="spellStart"/>
            <w:r w:rsidRPr="00A371A1">
              <w:rPr>
                <w:rFonts w:asciiTheme="minorHAnsi" w:hAnsiTheme="minorHAnsi"/>
              </w:rPr>
              <w:t>Firefox</w:t>
            </w:r>
            <w:proofErr w:type="spellEnd"/>
            <w:r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12.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zapewniać zdalny i lokalny dostęp administracyjny do wszystkich serwerów fizycznych poprzez protokół SSH, z możliwością nadawania uprawnień do takiego dostępu nazwanym użytkownikom bez konieczności wykorzystania konta </w:t>
            </w:r>
            <w:proofErr w:type="spellStart"/>
            <w:r w:rsidRPr="00A371A1">
              <w:rPr>
                <w:rFonts w:asciiTheme="minorHAnsi" w:hAnsiTheme="minorHAnsi"/>
              </w:rPr>
              <w:t>root</w:t>
            </w:r>
            <w:proofErr w:type="spellEnd"/>
            <w:r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13.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umożliwiać składowanie logów ze wszystkich serwerów fizycznych i konsoli zarządzającej na serwerze </w:t>
            </w:r>
            <w:proofErr w:type="spellStart"/>
            <w:r w:rsidRPr="00A371A1">
              <w:rPr>
                <w:rFonts w:asciiTheme="minorHAnsi" w:hAnsiTheme="minorHAnsi"/>
              </w:rPr>
              <w:t>Syslog</w:t>
            </w:r>
            <w:proofErr w:type="spellEnd"/>
            <w:r w:rsidRPr="00A371A1">
              <w:rPr>
                <w:rFonts w:asciiTheme="minorHAnsi" w:hAnsiTheme="minorHAnsi"/>
              </w:rPr>
              <w:t xml:space="preserve">. Serwer </w:t>
            </w:r>
            <w:proofErr w:type="spellStart"/>
            <w:r w:rsidRPr="00A371A1">
              <w:rPr>
                <w:rFonts w:asciiTheme="minorHAnsi" w:hAnsiTheme="minorHAnsi"/>
              </w:rPr>
              <w:t>Syslog</w:t>
            </w:r>
            <w:proofErr w:type="spellEnd"/>
            <w:r w:rsidRPr="00A371A1">
              <w:rPr>
                <w:rFonts w:asciiTheme="minorHAnsi" w:hAnsiTheme="minorHAnsi"/>
              </w:rPr>
              <w:t xml:space="preserve"> w dowolnej implementacji musi stanowić integralną część rozwiązania.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14.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zapewnić możliwość monitorowania wykorzystania zasobów fizycznych infrastruktury wirtualnej i zdefiniowania alertów informujących o przekroczeniu wartości progowych.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15.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umożliwiać integrację z rozwiązaniami antywirusowymi firm trzecich w zakresie skanowania maszyn wirtualnych z poziomu warstwy wirtualizacji.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16.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zapewniać możliwość konfigurowania polityk separacji sieci w warstwie trzeciej, tak aby zapewnić oddzielne grupy wzajemnej komunikacji pomiędzy maszynami wirtualnymi.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17.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do wirtualizacji musi zapewnić możliwość klonowania systemów operacyjnych wraz </w:t>
            </w:r>
            <w:r w:rsidRPr="00A371A1">
              <w:rPr>
                <w:rFonts w:asciiTheme="minorHAnsi" w:hAnsiTheme="minorHAnsi"/>
              </w:rPr>
              <w:lastRenderedPageBreak/>
              <w:t xml:space="preserve">z ich pełną konfiguracją i danymi.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18.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zarządzające musi posiadać możliwość przydzielania i konfiguracji uprawnień z możliwością integracji z usługami katalogowymi, w szczególności: Microsoft Active Directory, Open LDAP.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19.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Platforma </w:t>
            </w:r>
            <w:proofErr w:type="spellStart"/>
            <w:r w:rsidRPr="00A371A1">
              <w:rPr>
                <w:rFonts w:asciiTheme="minorHAnsi" w:hAnsiTheme="minorHAnsi"/>
              </w:rPr>
              <w:t>wirtualizacyjna</w:t>
            </w:r>
            <w:proofErr w:type="spellEnd"/>
            <w:r w:rsidRPr="00A371A1">
              <w:rPr>
                <w:rFonts w:asciiTheme="minorHAnsi" w:hAnsiTheme="minorHAnsi"/>
              </w:rPr>
              <w:t xml:space="preserve"> musi umożliwiać zastosowanie w serwerach fizycznych procesorów o dowolnej ilości rdzeni.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20.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umożliwiać tworzenie jednorodnych wolumenów logicznych o wielkości do 64TB.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21.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zapewniać możliwość dodawania zasobów w czasie pracy maszyny wirtualnej, w szczególności w zakresie ilości procesorów, pamięci operacyjnej i przestrzeni dyskowej.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22.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posiadać wbudowany interfejs programistyczny (API) zapewniający pełną integrację zewnętrznych rozwiązań wykonywania kopii zapasowych z istniejącymi mechanizmami warstwy </w:t>
            </w:r>
            <w:proofErr w:type="spellStart"/>
            <w:r w:rsidRPr="00A371A1">
              <w:rPr>
                <w:rFonts w:asciiTheme="minorHAnsi" w:hAnsiTheme="minorHAnsi"/>
              </w:rPr>
              <w:t>wirtualizacyjnej</w:t>
            </w:r>
            <w:proofErr w:type="spellEnd"/>
            <w:r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23.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Czas planowanego przestoju usług związany z koniecznością prac serwisowych (np. rekonfiguracja serwerów, macierzy, </w:t>
            </w:r>
            <w:proofErr w:type="spellStart"/>
            <w:r w:rsidRPr="00A371A1">
              <w:rPr>
                <w:rFonts w:asciiTheme="minorHAnsi" w:hAnsiTheme="minorHAnsi"/>
              </w:rPr>
              <w:t>switchy</w:t>
            </w:r>
            <w:proofErr w:type="spellEnd"/>
            <w:r w:rsidRPr="00A371A1">
              <w:rPr>
                <w:rFonts w:asciiTheme="minorHAnsi" w:hAnsiTheme="minorHAnsi"/>
              </w:rPr>
              <w:t xml:space="preserve">) musi być ograniczony do minimum.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24.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Oprogramowanie do wirtualizacji musi obsługiwać przełączenie ścieżek SAN (bez utraty komunikacji) w przypadku awarii jednej ze ścieżek.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25.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Oprogramowanie do wirtualizacji musi obsługiwać przełączenie ścieżek LAN (bez utraty komunikacji) w przypadku awarii jednej ze ścieżek.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26.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mieć możliwość przenoszenia maszyn wirtualnych w czasie ich pracy pomiędzy serwerami fizycznymi oraz pamięciami masowymi niezależnie od dostępności współdzielonej przestrzeni dyskowej.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5462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27.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umożliwiać łatwe i szybkie ponowne uruchomienie systemów/usług w przypadku awarii poszczególnych elementów infrastruktury.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54627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54627" w:rsidRPr="00A371A1" w:rsidRDefault="0075462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Oprogramowanie do backupu środowiska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F70856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1523" w:type="pct"/>
            <w:vMerge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F70856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Nazwa producenta</w:t>
            </w:r>
            <w:r w:rsidR="00F70856" w:rsidRPr="00A371A1">
              <w:rPr>
                <w:rFonts w:asciiTheme="minorHAnsi" w:hAnsiTheme="minorHAnsi"/>
                <w:b/>
              </w:rPr>
              <w:t>/wersja</w:t>
            </w:r>
            <w:r w:rsidRPr="00A371A1">
              <w:rPr>
                <w:rFonts w:asciiTheme="minorHAnsi" w:hAnsiTheme="minorHAnsi"/>
                <w:b/>
              </w:rPr>
              <w:t xml:space="preserve">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vMerge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3272" w:type="pct"/>
            <w:gridSpan w:val="3"/>
            <w:shd w:val="clear" w:color="auto" w:fill="D9D9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5752D8" w:rsidRPr="00A371A1" w:rsidRDefault="00ED6AFC" w:rsidP="00ED6AF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Zamawiający wymaga dostarczenia wymaganej liczby licencji oprogramowania w celu zapewnienia poprawnej pracy w dostarczonym środowisku </w:t>
            </w:r>
            <w:proofErr w:type="spellStart"/>
            <w:r w:rsidRPr="00A371A1">
              <w:rPr>
                <w:rFonts w:asciiTheme="minorHAnsi" w:hAnsiTheme="minorHAnsi"/>
              </w:rPr>
              <w:t>wirtualizacyjnym</w:t>
            </w:r>
            <w:proofErr w:type="spellEnd"/>
            <w:r w:rsidRPr="00A371A1">
              <w:rPr>
                <w:rFonts w:asciiTheme="minorHAnsi" w:hAnsiTheme="minorHAnsi"/>
              </w:rPr>
              <w:t xml:space="preserve">. Wszystkie licencje powinny być </w:t>
            </w:r>
            <w:r w:rsidRPr="00A371A1">
              <w:rPr>
                <w:rFonts w:asciiTheme="minorHAnsi" w:hAnsiTheme="minorHAnsi"/>
              </w:rPr>
              <w:lastRenderedPageBreak/>
              <w:t>dostarczone wraz z 1 rocznym wsparciem, świadczonym przez producenta będącego licencjodawcą oprogramowania.</w:t>
            </w:r>
          </w:p>
        </w:tc>
        <w:tc>
          <w:tcPr>
            <w:tcW w:w="1523" w:type="pct"/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do archiwizacji powinno współpracować z infrastrukturą wirtualizacji opartą na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ESX oraz </w:t>
            </w:r>
            <w:proofErr w:type="spellStart"/>
            <w:r w:rsidRPr="00A371A1">
              <w:rPr>
                <w:rFonts w:asciiTheme="minorHAnsi" w:hAnsiTheme="minorHAnsi"/>
              </w:rPr>
              <w:t>ESXi</w:t>
            </w:r>
            <w:proofErr w:type="spellEnd"/>
            <w:r w:rsidRPr="00A371A1">
              <w:rPr>
                <w:rFonts w:asciiTheme="minorHAnsi" w:hAnsiTheme="minorHAnsi"/>
              </w:rPr>
              <w:t xml:space="preserve"> w wersjach 3.5, 4.0, 4.1, 5 oraz 5,  jak również  Hyper-V 2008 R2 i Hyper-V 2012 (w tym obsługa formatu dysków wirtualnych *.</w:t>
            </w:r>
            <w:proofErr w:type="spellStart"/>
            <w:r w:rsidRPr="00A371A1">
              <w:rPr>
                <w:rFonts w:asciiTheme="minorHAnsi" w:hAnsiTheme="minorHAnsi"/>
              </w:rPr>
              <w:t>vhdx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współpracować z hostami ESX i </w:t>
            </w:r>
            <w:proofErr w:type="spellStart"/>
            <w:r w:rsidRPr="00A371A1">
              <w:rPr>
                <w:rFonts w:asciiTheme="minorHAnsi" w:hAnsiTheme="minorHAnsi"/>
              </w:rPr>
              <w:t>ESXi</w:t>
            </w:r>
            <w:proofErr w:type="spellEnd"/>
            <w:r w:rsidRPr="00A371A1">
              <w:rPr>
                <w:rFonts w:asciiTheme="minorHAnsi" w:hAnsiTheme="minorHAnsi"/>
              </w:rPr>
              <w:t xml:space="preserve"> zarządzanymi przez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współpracować z hostami Hyper-V zarządzanymi przez System Center Virtual Machine Manager, zgrupowanymi w klastry jak i nie zarządzanymi (</w:t>
            </w:r>
            <w:proofErr w:type="spellStart"/>
            <w:r w:rsidRPr="00A371A1">
              <w:rPr>
                <w:rFonts w:asciiTheme="minorHAnsi" w:hAnsiTheme="minorHAnsi"/>
              </w:rPr>
              <w:t>standalone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nie może instalować żadnych swoich komponentów (agent) w archiwizowanych maszynach wirtualnych.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wspierać backup wszystkich systemów operacyjnych w wirtualnych maszynach, które są wspierane przez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i Hyper-V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mieć możliwość instalacji na następujących systemach operacyjnych zarówno w wersji 32 jak i 64 bitowej: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XP SP3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Server 2003 SP2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Vista SP2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Server 2008 SP2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Server 2008 R2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Microsoft Windows 7 SP1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Windows Server 2012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Windows 8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dawać możliwość odzyskiwania całych obrazów maszyn wirtualnych z obrazów, pojedynczych plików z systemu plików znajdujących się wewnątrz wirtualnej maszyny. Rozwiązanie musi umożliwiać odzyskiwanie plików z następujących systemów plików: ext2, ext3, ext4, </w:t>
            </w:r>
            <w:proofErr w:type="spellStart"/>
            <w:r w:rsidRPr="00A371A1">
              <w:rPr>
                <w:rFonts w:asciiTheme="minorHAnsi" w:hAnsiTheme="minorHAnsi"/>
              </w:rPr>
              <w:t>ReiserFS</w:t>
            </w:r>
            <w:proofErr w:type="spellEnd"/>
            <w:r w:rsidRPr="00A371A1">
              <w:rPr>
                <w:rFonts w:asciiTheme="minorHAnsi" w:hAnsiTheme="minorHAnsi"/>
              </w:rPr>
              <w:t xml:space="preserve"> (Reiser3), JFS, XFS,JFS, XFS, UFS, UFS, UFS2, ZFS, HFS, HFS+, NTFS, FAT, FAT32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9.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umożliwiać natychmiastowe odzyskanie wirtualnej maszyny i jej uruchomienie bez kopiowania na </w:t>
            </w:r>
            <w:proofErr w:type="spellStart"/>
            <w:r w:rsidRPr="00A371A1">
              <w:rPr>
                <w:rFonts w:asciiTheme="minorHAnsi" w:hAnsiTheme="minorHAnsi"/>
              </w:rPr>
              <w:t>storage</w:t>
            </w:r>
            <w:proofErr w:type="spellEnd"/>
            <w:r w:rsidRPr="00A371A1">
              <w:rPr>
                <w:rFonts w:asciiTheme="minorHAnsi" w:hAnsiTheme="minorHAnsi"/>
              </w:rPr>
              <w:t xml:space="preserve"> podłączony do hostów ESX (wbudowana funkcjonalność NFS Server) i Hyper-V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10.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zapewniać szybkie odzyskiwanie danych ze skrzynek pocztowych Microsoft Exchange 2010/2013 bez potrzeby uruchamiania maszyny wirtualnej (odzyskiwanie bezpośrednio z bazy danych *.EDB)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11.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umożliwiać indeksowanie plików zawartych w archiwach maszyn wirtualnych z systemem operacyjnym Windows w celu szybkiego ich przeszukiwania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w pełni korzystać z mechanizmów zawartych w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vStorage</w:t>
            </w:r>
            <w:proofErr w:type="spellEnd"/>
            <w:r w:rsidRPr="00A371A1">
              <w:rPr>
                <w:rFonts w:asciiTheme="minorHAnsi" w:hAnsiTheme="minorHAnsi"/>
              </w:rPr>
              <w:t xml:space="preserve"> API for Data </w:t>
            </w:r>
            <w:proofErr w:type="spellStart"/>
            <w:r w:rsidRPr="00A371A1">
              <w:rPr>
                <w:rFonts w:asciiTheme="minorHAnsi" w:hAnsiTheme="minorHAnsi"/>
              </w:rPr>
              <w:t>Protection</w:t>
            </w:r>
            <w:proofErr w:type="spellEnd"/>
            <w:r w:rsidRPr="00A371A1">
              <w:rPr>
                <w:rFonts w:asciiTheme="minorHAnsi" w:hAnsiTheme="minorHAnsi"/>
              </w:rPr>
              <w:t xml:space="preserve"> a w szczególności być zgodnym z mechanizmem </w:t>
            </w:r>
            <w:proofErr w:type="spellStart"/>
            <w:r w:rsidRPr="00A371A1">
              <w:rPr>
                <w:rFonts w:asciiTheme="minorHAnsi" w:hAnsiTheme="minorHAnsi"/>
              </w:rPr>
              <w:t>Changed</w:t>
            </w:r>
            <w:proofErr w:type="spellEnd"/>
            <w:r w:rsidRPr="00A371A1">
              <w:rPr>
                <w:rFonts w:asciiTheme="minorHAnsi" w:hAnsiTheme="minorHAnsi"/>
              </w:rPr>
              <w:t xml:space="preserve"> Block </w:t>
            </w:r>
            <w:proofErr w:type="spellStart"/>
            <w:r w:rsidRPr="00A371A1">
              <w:rPr>
                <w:rFonts w:asciiTheme="minorHAnsi" w:hAnsiTheme="minorHAnsi"/>
              </w:rPr>
              <w:t>Tracking</w:t>
            </w:r>
            <w:proofErr w:type="spellEnd"/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wbudowane mechanizmy podobne do technologii CBT również dla platformy Hyper-V w celu przyśpieszenia procesu backupu.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korzystać z mechanizmów VSS (Windows Volume </w:t>
            </w:r>
            <w:proofErr w:type="spellStart"/>
            <w:r w:rsidRPr="00A371A1">
              <w:rPr>
                <w:rFonts w:asciiTheme="minorHAnsi" w:hAnsiTheme="minorHAnsi"/>
              </w:rPr>
              <w:t>Shadowcopy</w:t>
            </w:r>
            <w:proofErr w:type="spellEnd"/>
            <w:r w:rsidRPr="00A371A1">
              <w:rPr>
                <w:rFonts w:asciiTheme="minorHAnsi" w:hAnsiTheme="minorHAnsi"/>
              </w:rPr>
              <w:t>) wbudowanych w najnowsze systemy operacyjne z rodziny Windows.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wbudowane mechanizmy </w:t>
            </w:r>
            <w:proofErr w:type="spellStart"/>
            <w:r w:rsidRPr="00A371A1">
              <w:rPr>
                <w:rFonts w:asciiTheme="minorHAnsi" w:hAnsiTheme="minorHAnsi"/>
              </w:rPr>
              <w:t>deduplikacji</w:t>
            </w:r>
            <w:proofErr w:type="spellEnd"/>
            <w:r w:rsidRPr="00A371A1">
              <w:rPr>
                <w:rFonts w:asciiTheme="minorHAnsi" w:hAnsiTheme="minorHAnsi"/>
              </w:rPr>
              <w:t xml:space="preserve"> i kompresji archiwum w celu redukcji zajmowanej przez archiwa przestrzeni dyskowej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możliwość instalacji centralnej konsoli do zarządzania większą ilością serwerów archiwizujących oraz jednoczesnego zarządzania backupami środowiska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i Hyper-V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Dostęp do tej konsoli powinien być realizowany przez przeglądarkę WWW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wbudowany mechanizm informowania o pomyślnym lub niepomyślnym zakończeniu procesu archiwizacji poprzez email, zapis do Event </w:t>
            </w:r>
            <w:proofErr w:type="spellStart"/>
            <w:r w:rsidRPr="00A371A1">
              <w:rPr>
                <w:rFonts w:asciiTheme="minorHAnsi" w:hAnsiTheme="minorHAnsi"/>
              </w:rPr>
              <w:t>Log’u</w:t>
            </w:r>
            <w:proofErr w:type="spellEnd"/>
            <w:r w:rsidRPr="00A371A1">
              <w:rPr>
                <w:rFonts w:asciiTheme="minorHAnsi" w:hAnsiTheme="minorHAnsi"/>
              </w:rPr>
              <w:t xml:space="preserve"> Windows lub wysłanie komunikatu SNMP.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19.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mieć możliwość rozbudowy procesu archiwizacji o dowolne skrypty tworzone przez administratora i dołączane do zadań archiwizacyjnych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20.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wbudowaną możliwość replikacji wirtualnych maszyn pomiędzy hostami ESX i </w:t>
            </w:r>
            <w:proofErr w:type="spellStart"/>
            <w:r w:rsidRPr="00A371A1">
              <w:rPr>
                <w:rFonts w:asciiTheme="minorHAnsi" w:hAnsiTheme="minorHAnsi"/>
              </w:rPr>
              <w:t>ESXi</w:t>
            </w:r>
            <w:proofErr w:type="spellEnd"/>
            <w:r w:rsidRPr="00A371A1">
              <w:rPr>
                <w:rFonts w:asciiTheme="minorHAnsi" w:hAnsiTheme="minorHAnsi"/>
              </w:rPr>
              <w:t xml:space="preserve"> oraz w tym możliwość replikacji ciągłej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mieć wbudowaną możliwość replikacji maszyn wirtualnych pomiędzy hostami Hyper-V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być zgodne z konfiguracją rozproszonego przełącznika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 (Distributed Virtual Switch)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mieć możliwość automatycznej zmiany numeracji IP maszyn przywracanych w środowiskach centrum zapasowego w przypadku awarii centrum podstawowego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możliwość integracji z macierzami HP </w:t>
            </w:r>
            <w:proofErr w:type="spellStart"/>
            <w:r w:rsidRPr="00A371A1">
              <w:rPr>
                <w:rFonts w:asciiTheme="minorHAnsi" w:hAnsiTheme="minorHAnsi"/>
              </w:rPr>
              <w:t>Lefthand</w:t>
            </w:r>
            <w:proofErr w:type="spellEnd"/>
            <w:r w:rsidRPr="00A371A1">
              <w:rPr>
                <w:rFonts w:asciiTheme="minorHAnsi" w:hAnsiTheme="minorHAnsi"/>
              </w:rPr>
              <w:t xml:space="preserve"> i oprogramowanie HP </w:t>
            </w:r>
            <w:proofErr w:type="spellStart"/>
            <w:r w:rsidRPr="00A371A1">
              <w:rPr>
                <w:rFonts w:asciiTheme="minorHAnsi" w:hAnsiTheme="minorHAnsi"/>
              </w:rPr>
              <w:t>StoreVirtual</w:t>
            </w:r>
            <w:proofErr w:type="spellEnd"/>
            <w:r w:rsidRPr="00A371A1">
              <w:rPr>
                <w:rFonts w:asciiTheme="minorHAnsi" w:hAnsiTheme="minorHAnsi"/>
              </w:rPr>
              <w:t xml:space="preserve">. Rozwiązanie musi umożliwiać odzyskiwanie wirtualnych maszyn, plików z tych maszyn i uruchamianie maszyn bezpośrednio z migawki wykonanej przez rozwiązanie HP (tzw. SAN </w:t>
            </w:r>
            <w:proofErr w:type="spellStart"/>
            <w:r w:rsidRPr="00A371A1">
              <w:rPr>
                <w:rFonts w:asciiTheme="minorHAnsi" w:hAnsiTheme="minorHAnsi"/>
              </w:rPr>
              <w:t>Snapshot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5462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25.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umożliwiać zapisanie konfiguracji całej instalacji w celu przywrócenia jej po </w:t>
            </w:r>
            <w:proofErr w:type="spellStart"/>
            <w:r w:rsidRPr="00A371A1">
              <w:rPr>
                <w:rFonts w:asciiTheme="minorHAnsi" w:hAnsiTheme="minorHAnsi"/>
              </w:rPr>
              <w:t>reinstalacji</w:t>
            </w:r>
            <w:proofErr w:type="spellEnd"/>
            <w:r w:rsidRPr="00A371A1">
              <w:rPr>
                <w:rFonts w:asciiTheme="minorHAnsi" w:hAnsiTheme="minorHAnsi"/>
              </w:rPr>
              <w:t xml:space="preserve"> całego systemu.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54627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54627" w:rsidRPr="00A371A1" w:rsidRDefault="0075462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lastRenderedPageBreak/>
              <w:t>Serwerowy System operacyjny serwera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F70856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ED6AFC" w:rsidRPr="00A371A1" w:rsidRDefault="00ED6AFC" w:rsidP="00ED6AF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3 - wraz z 65 licencjami dostępowymi</w:t>
            </w:r>
          </w:p>
        </w:tc>
        <w:tc>
          <w:tcPr>
            <w:tcW w:w="1523" w:type="pct"/>
            <w:vMerge/>
            <w:shd w:val="clear" w:color="auto" w:fill="D9D9D9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ED6AFC" w:rsidRPr="00A371A1" w:rsidRDefault="00ED6AFC" w:rsidP="00F70856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Nazwa producenta</w:t>
            </w:r>
            <w:r w:rsidR="00F70856" w:rsidRPr="00A371A1">
              <w:rPr>
                <w:rFonts w:asciiTheme="minorHAnsi" w:hAnsiTheme="minorHAnsi"/>
                <w:b/>
              </w:rPr>
              <w:t>/wersja</w:t>
            </w:r>
            <w:r w:rsidRPr="00A371A1">
              <w:rPr>
                <w:rFonts w:asciiTheme="minorHAnsi" w:hAnsiTheme="minorHAnsi"/>
                <w:b/>
              </w:rPr>
              <w:t xml:space="preserve">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vMerge/>
            <w:shd w:val="clear" w:color="auto" w:fill="D9D9D9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D9D9D9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3272" w:type="pct"/>
            <w:gridSpan w:val="3"/>
            <w:shd w:val="clear" w:color="auto" w:fill="D9D9D9"/>
            <w:vAlign w:val="center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Serwerowy system operacyjny musi posiadać następujące cechy.</w:t>
            </w: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Wbudowana zapora internetowa (firewall) z obsługą definiowanych reguł dla ochrony połączeń internetowych i intranetowych,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Zlokalizowane w języku polskim, co najmniej następujące elementy: menu, przeglądarka internetowa, pomoc, komunikaty systemowe,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Wsparcie dla większości powszechnie używanych urządzeń peryferyjnych (drukarek, urządzeń sieciowych, standardów USB, </w:t>
            </w:r>
            <w:proofErr w:type="spellStart"/>
            <w:r w:rsidRPr="00A371A1">
              <w:rPr>
                <w:rFonts w:asciiTheme="minorHAnsi" w:hAnsiTheme="minorHAnsi"/>
              </w:rPr>
              <w:t>Plug&amp;Play</w:t>
            </w:r>
            <w:proofErr w:type="spellEnd"/>
            <w:r w:rsidRPr="00A371A1">
              <w:rPr>
                <w:rFonts w:asciiTheme="minorHAnsi" w:hAnsiTheme="minorHAnsi"/>
              </w:rPr>
              <w:t xml:space="preserve">),  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Graficzny interfejs użytkownika,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Obsługa systemów wieloprocesorowych,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Obsługa platform sprzętowych x86, x64,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zdalnej konfiguracji, administrowania oraz aktualizowania systemu,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implementacji następujących funkcjonalności bez potrzeby instalowania dodatkowych produktów (oprogramowania):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Podstawowe usługi sieciowe: DNS, DHCP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Usługi katalogowe pozwalające na zarządzanie zasobami w sieci (użytkownicy, komputery, drukarki, udziały sieciowe)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Zdalna dystrybucja oprogramowania na stacje robocze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Praca zdalna na serwerze z wykorzystaniem terminala (cienkiego klienta) lub odpowiednio skonfigurowanej stacji roboczej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PKI (Centrum Certyfikatów, obsługa klucza publicznego i prywatnego)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Szyfrowanie plików i folderów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Szyfrowanie połączeń sieciowych pomiędzy serwerami oraz serwerami i stacjami roboczymi (</w:t>
            </w:r>
            <w:proofErr w:type="spellStart"/>
            <w:r w:rsidRPr="00A371A1">
              <w:rPr>
                <w:rFonts w:asciiTheme="minorHAnsi" w:hAnsiTheme="minorHAnsi"/>
              </w:rPr>
              <w:t>IPSec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rozłożenia obciążenia serwerów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Serwis udostępniania stron WWW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Serwis zarządzania polityką konsumpcji informacji w dokumentach (Digital </w:t>
            </w:r>
            <w:proofErr w:type="spellStart"/>
            <w:r w:rsidRPr="00A371A1">
              <w:rPr>
                <w:rFonts w:asciiTheme="minorHAnsi" w:hAnsiTheme="minorHAnsi"/>
              </w:rPr>
              <w:t>Rights</w:t>
            </w:r>
            <w:proofErr w:type="spellEnd"/>
            <w:r w:rsidRPr="00A371A1">
              <w:rPr>
                <w:rFonts w:asciiTheme="minorHAnsi" w:hAnsiTheme="minorHAnsi"/>
              </w:rPr>
              <w:t xml:space="preserve"> Management)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Wsparcie dla protokołu IP w wersji 6 (IPv6)</w:t>
            </w:r>
          </w:p>
          <w:p w:rsidR="00ED6AFC" w:rsidRPr="00A371A1" w:rsidRDefault="00ED6AFC" w:rsidP="00F70856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Wsparcie dla </w:t>
            </w:r>
            <w:proofErr w:type="spellStart"/>
            <w:r w:rsidRPr="00A371A1">
              <w:rPr>
                <w:rFonts w:asciiTheme="minorHAnsi" w:hAnsiTheme="minorHAnsi"/>
              </w:rPr>
              <w:t>deduplikacji</w:t>
            </w:r>
            <w:proofErr w:type="spellEnd"/>
            <w:r w:rsidRPr="00A371A1">
              <w:rPr>
                <w:rFonts w:asciiTheme="minorHAnsi" w:hAnsiTheme="minorHAnsi"/>
              </w:rPr>
              <w:t xml:space="preserve"> danych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420E31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9.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Zorganizowany system szkoleń i materiały edukacyjne w języku polskim.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420E31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420E31" w:rsidRPr="00A371A1" w:rsidRDefault="00420E3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ED2175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Serwer Relacyjnej Bazy Danych </w:t>
            </w:r>
            <w:r w:rsidR="00F70856" w:rsidRPr="00A371A1">
              <w:rPr>
                <w:rFonts w:asciiTheme="minorHAnsi" w:hAnsiTheme="minorHAnsi"/>
                <w:b/>
              </w:rPr>
              <w:t xml:space="preserve"> SQL Server Standard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F70856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1 - wraz z 5 licencjami dostępowymi</w:t>
            </w:r>
          </w:p>
        </w:tc>
        <w:tc>
          <w:tcPr>
            <w:tcW w:w="1523" w:type="pct"/>
            <w:vMerge/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A81DA4">
        <w:trPr>
          <w:trHeight w:val="791"/>
        </w:trPr>
        <w:tc>
          <w:tcPr>
            <w:tcW w:w="3477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producenta/wersja: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A81DA4">
        <w:trPr>
          <w:trHeight w:val="230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Przełącznik sieciowy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F70856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2</w:t>
            </w:r>
          </w:p>
        </w:tc>
        <w:tc>
          <w:tcPr>
            <w:tcW w:w="1523" w:type="pct"/>
            <w:vMerge/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producenta/model: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vMerge/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3272" w:type="pct"/>
            <w:gridSpan w:val="3"/>
            <w:shd w:val="clear" w:color="auto" w:fill="D9D9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być oparte o urządzenie o zamkniętej konfiguracji, wysokości 1 RU.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posiadać przynajmniej 512MB pamięci DRAM oraz 1 GB pamięci Flash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budowy stosu za pomocą dedykowanego modułu, do czterech urządzeń w stosie. Wydajność magistrali stosu min. 20 </w:t>
            </w:r>
            <w:proofErr w:type="spellStart"/>
            <w:r w:rsidRPr="00A371A1">
              <w:rPr>
                <w:rFonts w:asciiTheme="minorHAnsi" w:hAnsiTheme="minorHAnsi"/>
              </w:rPr>
              <w:t>Gbps</w:t>
            </w:r>
            <w:proofErr w:type="spellEnd"/>
            <w:r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obsłużyć 16000 adresów MAC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Urządzenie powinno posiadać tzw. </w:t>
            </w:r>
            <w:proofErr w:type="spellStart"/>
            <w:r w:rsidRPr="00A371A1">
              <w:rPr>
                <w:rFonts w:asciiTheme="minorHAnsi" w:hAnsiTheme="minorHAnsi"/>
              </w:rPr>
              <w:t>Switching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Fabric</w:t>
            </w:r>
            <w:proofErr w:type="spellEnd"/>
            <w:r w:rsidRPr="00A371A1">
              <w:rPr>
                <w:rFonts w:asciiTheme="minorHAnsi" w:hAnsiTheme="minorHAnsi"/>
              </w:rPr>
              <w:t xml:space="preserve"> o wydajności co najmniej 176 </w:t>
            </w:r>
            <w:proofErr w:type="spellStart"/>
            <w:r w:rsidRPr="00A371A1">
              <w:rPr>
                <w:rFonts w:asciiTheme="minorHAnsi" w:hAnsiTheme="minorHAnsi"/>
              </w:rPr>
              <w:t>Gbps</w:t>
            </w:r>
            <w:proofErr w:type="spellEnd"/>
            <w:r w:rsidRPr="00A371A1">
              <w:rPr>
                <w:rFonts w:asciiTheme="minorHAnsi" w:hAnsiTheme="minorHAnsi"/>
              </w:rPr>
              <w:t xml:space="preserve"> oraz przepustowość co najmniej 77 </w:t>
            </w:r>
            <w:proofErr w:type="spellStart"/>
            <w:r w:rsidRPr="00A371A1">
              <w:rPr>
                <w:rFonts w:asciiTheme="minorHAnsi" w:hAnsiTheme="minorHAnsi"/>
              </w:rPr>
              <w:t>Mpps</w:t>
            </w:r>
            <w:proofErr w:type="spellEnd"/>
            <w:r w:rsidRPr="00A371A1">
              <w:rPr>
                <w:rFonts w:asciiTheme="minorHAnsi" w:hAnsiTheme="minorHAnsi"/>
              </w:rPr>
              <w:t xml:space="preserve"> dla pakietów 64 bajtowych.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Urządzenie powinno posiadać co najmniej 44 portów Gigabit Ethernet w standardzie 10/100/1000BaseT  , plus cztery porty typu </w:t>
            </w:r>
            <w:proofErr w:type="spellStart"/>
            <w:r w:rsidRPr="00A371A1">
              <w:rPr>
                <w:rFonts w:asciiTheme="minorHAnsi" w:hAnsiTheme="minorHAnsi"/>
              </w:rPr>
              <w:t>uplink</w:t>
            </w:r>
            <w:proofErr w:type="spellEnd"/>
            <w:r w:rsidRPr="00A371A1">
              <w:rPr>
                <w:rFonts w:asciiTheme="minorHAnsi" w:hAnsiTheme="minorHAnsi"/>
              </w:rPr>
              <w:t xml:space="preserve"> Small Form-</w:t>
            </w:r>
            <w:proofErr w:type="spellStart"/>
            <w:r w:rsidRPr="00A371A1">
              <w:rPr>
                <w:rFonts w:asciiTheme="minorHAnsi" w:hAnsiTheme="minorHAnsi"/>
              </w:rPr>
              <w:t>Factor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Plugable</w:t>
            </w:r>
            <w:proofErr w:type="spellEnd"/>
            <w:r w:rsidRPr="00A371A1">
              <w:rPr>
                <w:rFonts w:asciiTheme="minorHAnsi" w:hAnsiTheme="minorHAnsi"/>
              </w:rPr>
              <w:t xml:space="preserve"> (SFP) pozwalające na instalację wkładek z portami Gigabit Ethernet 1000BASE-T, 1000BASE-SX, 1000BASE LX/LH.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posiadać wsparcie dla co najmniej 255 sieci VLAN oraz 4000 VLAN ID.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A38C4">
        <w:trPr>
          <w:trHeight w:val="311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mieć wsparcie protokołów sieciowych zgodnie ze standardami: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802.1x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802.1s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802.1w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 xml:space="preserve">IEEE 802.3x full duplex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na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portach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10BASE-T, 100BASE-TX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oraz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1000BASE-T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802.3ad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802.1D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802.1p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802.1Q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 10BASE-T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802.3u 100BASE-TX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802.3z 1000BASE-X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802.3ab 100BASE-T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A38C4">
        <w:trPr>
          <w:trHeight w:val="119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9.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wspierać następujące mechanizmy związane z zapewnieniem jakości usług w sieci: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Mechanizm zapewnienia jakości usług </w:t>
            </w:r>
            <w:proofErr w:type="spellStart"/>
            <w:r w:rsidRPr="00A371A1">
              <w:rPr>
                <w:rFonts w:asciiTheme="minorHAnsi" w:hAnsiTheme="minorHAnsi"/>
              </w:rPr>
              <w:t>QoS</w:t>
            </w:r>
            <w:proofErr w:type="spellEnd"/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Rate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limiting</w:t>
            </w:r>
            <w:proofErr w:type="spellEnd"/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Class of Service (</w:t>
            </w:r>
            <w:proofErr w:type="spellStart"/>
            <w:r w:rsidRPr="00A371A1">
              <w:rPr>
                <w:rFonts w:asciiTheme="minorHAnsi" w:hAnsiTheme="minorHAnsi"/>
              </w:rPr>
              <w:t>CoS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Priorytetyzacja</w:t>
            </w:r>
            <w:proofErr w:type="spellEnd"/>
            <w:r w:rsidRPr="00A371A1">
              <w:rPr>
                <w:rFonts w:asciiTheme="minorHAnsi" w:hAnsiTheme="minorHAnsi"/>
              </w:rPr>
              <w:t xml:space="preserve"> IEEE 802.1p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A38C4">
        <w:trPr>
          <w:trHeight w:val="95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10.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wspierać następujące mechanizmy związane z zapewnieniem bezpieczeństwa sieci: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uzyskania dostępu do urządzenia przez SSHv2 i SNMPv3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autoryzacji prób logowania do urządzenia za pomocą serwerów RADIUS i TACACS+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współpraca z systemami kontroli dostępu do sieci typu NAC, NAP itp.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Powinno wspierać obsługę ruchu </w:t>
            </w:r>
            <w:proofErr w:type="spellStart"/>
            <w:r w:rsidRPr="00A371A1">
              <w:rPr>
                <w:rFonts w:asciiTheme="minorHAnsi" w:hAnsiTheme="minorHAnsi"/>
              </w:rPr>
              <w:t>multicast</w:t>
            </w:r>
            <w:proofErr w:type="spellEnd"/>
            <w:r w:rsidRPr="00A371A1">
              <w:rPr>
                <w:rFonts w:asciiTheme="minorHAnsi" w:hAnsiTheme="minorHAnsi"/>
              </w:rPr>
              <w:t xml:space="preserve"> z wykorzystaniem IGMPv3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umożliwiać grupowanie portów w jeden kanał logiczny zgodnie z LACP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uruchomienia funkcji serwera DHCP.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Urządzenie powinno obsługiwać tzn.: Jumbo </w:t>
            </w:r>
            <w:proofErr w:type="spellStart"/>
            <w:r w:rsidRPr="00A371A1">
              <w:rPr>
                <w:rFonts w:asciiTheme="minorHAnsi" w:hAnsiTheme="minorHAnsi"/>
              </w:rPr>
              <w:t>Frames</w:t>
            </w:r>
            <w:proofErr w:type="spellEnd"/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mieć możliwość montażu w szafie 19”, a jego obudowa powinna być wykonana z metalu.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A38C4">
        <w:trPr>
          <w:trHeight w:val="14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16.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wspierać standardy: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>LLDP-MED (Media Endpoint Discovery)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>IEEE 802.1AB Link Layer Discovery Protocol (LLDP)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>IEEE 802.1s Multiple Spanning Tree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>IEEE 802.3ad link-aggregation-control protocol (LACP)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SNMPv1, v2, and v3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Przełącznik musi być wyposażony w moduł umożliwiający budowę stosu wraz z odpowiednim kablem o długości co najmniej 1m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Gwarancja – co najmniej 24 miesiące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</w:tbl>
    <w:p w:rsidR="000608C9" w:rsidRPr="00A371A1" w:rsidRDefault="000608C9" w:rsidP="000608C9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0608C9" w:rsidRPr="00A371A1" w:rsidRDefault="003037E5" w:rsidP="003037E5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371A1">
        <w:t>Opis Wykonawcy musi być na tyle szczegółowy, aby pozwolił jednoznacznie stwierdzić zgodność oferowanego sprzętu, oprogramowania oraz pozostałych elementów zamówienia z wymaganiami Zamawiającego postawionymi w SIWZ</w:t>
      </w:r>
      <w:r w:rsidR="00B7704F" w:rsidRPr="00A371A1">
        <w:t>.</w:t>
      </w:r>
    </w:p>
    <w:p w:rsidR="000608C9" w:rsidRPr="00A371A1" w:rsidRDefault="000608C9" w:rsidP="000608C9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0608C9" w:rsidRPr="00A371A1" w:rsidRDefault="000608C9" w:rsidP="000608C9">
      <w:pPr>
        <w:spacing w:after="0" w:line="240" w:lineRule="auto"/>
        <w:rPr>
          <w:rFonts w:asciiTheme="minorHAnsi" w:eastAsia="Times New Roman" w:hAnsiTheme="minorHAnsi"/>
          <w:i/>
          <w:lang w:eastAsia="pl-PL"/>
        </w:rPr>
      </w:pPr>
      <w:r w:rsidRPr="00A371A1">
        <w:rPr>
          <w:rFonts w:asciiTheme="minorHAnsi" w:eastAsia="Times New Roman" w:hAnsiTheme="minorHAnsi"/>
          <w:i/>
          <w:lang w:eastAsia="pl-PL"/>
        </w:rPr>
        <w:t>.......................................</w:t>
      </w:r>
    </w:p>
    <w:p w:rsidR="000608C9" w:rsidRPr="00A371A1" w:rsidRDefault="000608C9" w:rsidP="000608C9">
      <w:pPr>
        <w:spacing w:after="0" w:line="240" w:lineRule="auto"/>
        <w:rPr>
          <w:rFonts w:asciiTheme="minorHAnsi" w:eastAsia="Times New Roman" w:hAnsiTheme="minorHAnsi"/>
          <w:i/>
          <w:lang w:eastAsia="pl-PL"/>
        </w:rPr>
      </w:pPr>
      <w:r w:rsidRPr="00A371A1">
        <w:rPr>
          <w:rFonts w:asciiTheme="minorHAnsi" w:eastAsia="Times New Roman" w:hAnsiTheme="minorHAnsi"/>
          <w:i/>
          <w:vertAlign w:val="superscript"/>
          <w:lang w:eastAsia="pl-PL"/>
        </w:rPr>
        <w:t xml:space="preserve">           (miejscowość, data)         </w:t>
      </w:r>
    </w:p>
    <w:p w:rsidR="000608C9" w:rsidRPr="00A371A1" w:rsidRDefault="000608C9" w:rsidP="000608C9">
      <w:pPr>
        <w:spacing w:after="0" w:line="240" w:lineRule="auto"/>
        <w:jc w:val="right"/>
        <w:rPr>
          <w:rFonts w:asciiTheme="minorHAnsi" w:eastAsia="Times New Roman" w:hAnsiTheme="minorHAnsi"/>
          <w:i/>
          <w:lang w:eastAsia="pl-PL"/>
        </w:rPr>
      </w:pPr>
      <w:r w:rsidRPr="00A371A1">
        <w:rPr>
          <w:rFonts w:asciiTheme="minorHAnsi" w:eastAsia="Times New Roman" w:hAnsiTheme="minorHAnsi"/>
          <w:i/>
          <w:lang w:eastAsia="pl-PL"/>
        </w:rPr>
        <w:t>..................................................................</w:t>
      </w:r>
    </w:p>
    <w:p w:rsidR="000608C9" w:rsidRPr="00A371A1" w:rsidRDefault="000608C9" w:rsidP="000608C9">
      <w:pPr>
        <w:spacing w:after="0" w:line="240" w:lineRule="auto"/>
        <w:ind w:left="2127" w:firstLine="855"/>
        <w:jc w:val="right"/>
        <w:rPr>
          <w:rFonts w:asciiTheme="minorHAnsi" w:eastAsia="Times New Roman" w:hAnsiTheme="minorHAnsi"/>
          <w:b/>
          <w:i/>
          <w:vertAlign w:val="superscript"/>
          <w:lang w:eastAsia="pl-PL"/>
        </w:rPr>
      </w:pPr>
      <w:r w:rsidRPr="00A371A1">
        <w:rPr>
          <w:rFonts w:asciiTheme="minorHAnsi" w:eastAsia="Times New Roman" w:hAnsiTheme="minorHAnsi"/>
          <w:vertAlign w:val="superscript"/>
          <w:lang w:eastAsia="pl-PL"/>
        </w:rPr>
        <w:t>(podpisy osób uprawnionych do składania</w:t>
      </w:r>
      <w:r w:rsidRPr="00A371A1">
        <w:rPr>
          <w:rFonts w:asciiTheme="minorHAnsi" w:eastAsia="Times New Roman" w:hAnsiTheme="minorHAnsi"/>
          <w:vertAlign w:val="superscript"/>
          <w:lang w:eastAsia="pl-PL"/>
        </w:rPr>
        <w:br/>
        <w:t xml:space="preserve"> oświadczeń woli w imieniu Wykonawcy)</w:t>
      </w:r>
    </w:p>
    <w:p w:rsidR="00372923" w:rsidRPr="00A371A1" w:rsidRDefault="00372923">
      <w:pPr>
        <w:rPr>
          <w:rFonts w:asciiTheme="minorHAnsi" w:hAnsiTheme="minorHAnsi"/>
        </w:rPr>
      </w:pPr>
    </w:p>
    <w:sectPr w:rsidR="00372923" w:rsidRPr="00A371A1" w:rsidSect="00F577D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119E"/>
    <w:multiLevelType w:val="hybridMultilevel"/>
    <w:tmpl w:val="17A0B4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5D1A90"/>
    <w:multiLevelType w:val="multilevel"/>
    <w:tmpl w:val="EF0E842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0C547C"/>
    <w:multiLevelType w:val="hybridMultilevel"/>
    <w:tmpl w:val="17A0B4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56667D"/>
    <w:multiLevelType w:val="hybridMultilevel"/>
    <w:tmpl w:val="17A0B4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83A3C3E"/>
    <w:multiLevelType w:val="hybridMultilevel"/>
    <w:tmpl w:val="9078DD8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2FE490E"/>
    <w:multiLevelType w:val="hybridMultilevel"/>
    <w:tmpl w:val="17A0B4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2375AC2"/>
    <w:multiLevelType w:val="hybridMultilevel"/>
    <w:tmpl w:val="A1108EAC"/>
    <w:lvl w:ilvl="0" w:tplc="412ED0A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AD4C9D"/>
    <w:multiLevelType w:val="multilevel"/>
    <w:tmpl w:val="EF0E842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4891786"/>
    <w:multiLevelType w:val="multilevel"/>
    <w:tmpl w:val="631E09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7945EDB"/>
    <w:multiLevelType w:val="multilevel"/>
    <w:tmpl w:val="85E4EF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12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7D2"/>
    <w:rsid w:val="000021F0"/>
    <w:rsid w:val="000608C9"/>
    <w:rsid w:val="00095401"/>
    <w:rsid w:val="000D70FB"/>
    <w:rsid w:val="000E3006"/>
    <w:rsid w:val="00156205"/>
    <w:rsid w:val="001C7A3D"/>
    <w:rsid w:val="001E1391"/>
    <w:rsid w:val="001E2B54"/>
    <w:rsid w:val="00247090"/>
    <w:rsid w:val="002E31BD"/>
    <w:rsid w:val="002E32F9"/>
    <w:rsid w:val="00303223"/>
    <w:rsid w:val="003037E5"/>
    <w:rsid w:val="00313A7D"/>
    <w:rsid w:val="003335CC"/>
    <w:rsid w:val="00372923"/>
    <w:rsid w:val="003D7C9F"/>
    <w:rsid w:val="00420E31"/>
    <w:rsid w:val="004F3B75"/>
    <w:rsid w:val="00575189"/>
    <w:rsid w:val="005752D8"/>
    <w:rsid w:val="00592B43"/>
    <w:rsid w:val="005A5929"/>
    <w:rsid w:val="005F0C69"/>
    <w:rsid w:val="005F492D"/>
    <w:rsid w:val="0065698A"/>
    <w:rsid w:val="00711543"/>
    <w:rsid w:val="00724094"/>
    <w:rsid w:val="00752B71"/>
    <w:rsid w:val="00754627"/>
    <w:rsid w:val="007A38C4"/>
    <w:rsid w:val="00834659"/>
    <w:rsid w:val="009457C0"/>
    <w:rsid w:val="00972643"/>
    <w:rsid w:val="009A6817"/>
    <w:rsid w:val="009C0902"/>
    <w:rsid w:val="009F6EA4"/>
    <w:rsid w:val="00A371A1"/>
    <w:rsid w:val="00A454AA"/>
    <w:rsid w:val="00A81DA4"/>
    <w:rsid w:val="00A822D8"/>
    <w:rsid w:val="00B1681D"/>
    <w:rsid w:val="00B3199E"/>
    <w:rsid w:val="00B7360C"/>
    <w:rsid w:val="00B7704F"/>
    <w:rsid w:val="00C110CE"/>
    <w:rsid w:val="00C165B0"/>
    <w:rsid w:val="00C35F1E"/>
    <w:rsid w:val="00C40BD1"/>
    <w:rsid w:val="00C84408"/>
    <w:rsid w:val="00D306E8"/>
    <w:rsid w:val="00D7691B"/>
    <w:rsid w:val="00DA00BD"/>
    <w:rsid w:val="00DF4F85"/>
    <w:rsid w:val="00E551A3"/>
    <w:rsid w:val="00ED2175"/>
    <w:rsid w:val="00ED6AFC"/>
    <w:rsid w:val="00F25DCE"/>
    <w:rsid w:val="00F577D2"/>
    <w:rsid w:val="00F70856"/>
    <w:rsid w:val="00FB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7D2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110CE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link w:val="ListParagraphChar"/>
    <w:uiPriority w:val="99"/>
    <w:rsid w:val="00F577D2"/>
    <w:pPr>
      <w:spacing w:after="200" w:line="276" w:lineRule="auto"/>
      <w:ind w:left="720"/>
      <w:contextualSpacing/>
    </w:pPr>
    <w:rPr>
      <w:rFonts w:eastAsia="Times New Roman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F577D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D70F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D70FB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C110CE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7D2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110CE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link w:val="ListParagraphChar"/>
    <w:uiPriority w:val="99"/>
    <w:rsid w:val="00F577D2"/>
    <w:pPr>
      <w:spacing w:after="200" w:line="276" w:lineRule="auto"/>
      <w:ind w:left="720"/>
      <w:contextualSpacing/>
    </w:pPr>
    <w:rPr>
      <w:rFonts w:eastAsia="Times New Roman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F577D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D70F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D70FB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C110CE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3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11729-836B-4602-AF79-D254B57D0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31</Pages>
  <Words>5991</Words>
  <Characters>35952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41860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Jacek Kolenda</cp:lastModifiedBy>
  <cp:revision>33</cp:revision>
  <dcterms:created xsi:type="dcterms:W3CDTF">2016-07-13T12:01:00Z</dcterms:created>
  <dcterms:modified xsi:type="dcterms:W3CDTF">2016-07-22T05:52:00Z</dcterms:modified>
</cp:coreProperties>
</file>